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440001-2026-21579</w:t>
      </w:r>
    </w:p>
    <w:p>
      <w:pPr>
        <w:pStyle w:val="null3"/>
        <w:jc w:val="center"/>
        <w:outlineLvl w:val="3"/>
      </w:pPr>
      <w:r>
        <w:rPr>
          <w:sz w:val="24"/>
          <w:b/>
        </w:rPr>
        <w:t>采购项目编号：</w:t>
      </w:r>
      <w:r>
        <w:rPr>
          <w:sz w:val="24"/>
          <w:b/>
        </w:rPr>
        <w:t>GDHS26GZ16110</w:t>
      </w:r>
    </w:p>
    <w:p>
      <w:pPr>
        <w:pStyle w:val="null3"/>
        <w:jc w:val="center"/>
        <w:outlineLvl w:val="3"/>
      </w:pPr>
      <w:r>
        <w:rPr>
          <w:sz w:val="24"/>
          <w:b/>
        </w:rPr>
        <w:t>项目名称：</w:t>
      </w:r>
      <w:r>
        <w:rPr>
          <w:sz w:val="24"/>
          <w:b/>
        </w:rPr>
        <w:t>广东外语外贸大学白云山校区2026年学生公寓床等家具采购项目</w:t>
      </w:r>
    </w:p>
    <w:p>
      <w:pPr>
        <w:pStyle w:val="null3"/>
        <w:jc w:val="center"/>
        <w:outlineLvl w:val="3"/>
      </w:pPr>
      <w:r>
        <w:rPr>
          <w:sz w:val="24"/>
          <w:b/>
        </w:rPr>
        <w:t>采购人：</w:t>
      </w:r>
      <w:r>
        <w:rPr>
          <w:sz w:val="24"/>
          <w:b/>
        </w:rPr>
        <w:t>广东外语外贸大学</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广东和盛招标代理有限公司</w:t>
      </w:r>
      <w:r>
        <w:rPr/>
        <w:t>受</w:t>
      </w:r>
      <w:r>
        <w:rPr/>
        <w:t>广东外语外贸大学</w:t>
      </w:r>
      <w:r>
        <w:rPr/>
        <w:t>的委托，采用</w:t>
      </w:r>
      <w:r>
        <w:rPr/>
        <w:t>公开招标</w:t>
      </w:r>
      <w:r>
        <w:rPr/>
        <w:t>方式组织采购</w:t>
      </w:r>
      <w:r>
        <w:rPr/>
        <w:t>广东外语外贸大学白云山校区2026年学生公寓床等家具采购项目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广东外语外贸大学白云山校区2026年学生公寓床等家具采购项目</w:t>
      </w:r>
    </w:p>
    <w:p>
      <w:pPr>
        <w:pStyle w:val="null3"/>
        <w:ind w:firstLine="480"/>
      </w:pPr>
      <w:r>
        <w:rPr/>
        <w:t>采购计划编号：</w:t>
      </w:r>
      <w:r>
        <w:rPr/>
        <w:t>440001-2026-21579</w:t>
      </w:r>
    </w:p>
    <w:p>
      <w:pPr>
        <w:pStyle w:val="null3"/>
        <w:ind w:firstLine="480"/>
      </w:pPr>
      <w:r>
        <w:rPr/>
        <w:t>采购项目编号：</w:t>
      </w:r>
      <w:r>
        <w:rPr/>
        <w:t>GDHS26GZ16110</w:t>
      </w:r>
    </w:p>
    <w:p>
      <w:pPr>
        <w:pStyle w:val="null3"/>
        <w:ind w:firstLine="480"/>
      </w:pPr>
      <w:r>
        <w:rPr/>
        <w:t>采购方式：</w:t>
      </w:r>
      <w:r>
        <w:rPr/>
        <w:t>公开招标</w:t>
      </w:r>
    </w:p>
    <w:p>
      <w:pPr>
        <w:pStyle w:val="null3"/>
        <w:ind w:firstLine="480"/>
      </w:pPr>
      <w:r>
        <w:rPr/>
        <w:t>预算金额：</w:t>
      </w:r>
      <w:r>
        <w:rPr/>
        <w:t>6,070,000.00</w:t>
      </w:r>
      <w:r>
        <w:rPr/>
        <w:t>元</w:t>
      </w:r>
    </w:p>
    <w:p>
      <w:pPr>
        <w:pStyle w:val="null3"/>
        <w:outlineLvl w:val="3"/>
      </w:pPr>
      <w:r>
        <w:rPr>
          <w:sz w:val="24"/>
          <w:b/>
        </w:rPr>
        <w:t>2.项目内容及需求情况（采购项目技术规格、参数及要求）</w:t>
      </w:r>
    </w:p>
    <w:p>
      <w:pPr>
        <w:pStyle w:val="null3"/>
      </w:pPr>
      <w:r>
        <w:rPr/>
        <w:t>采购包1(广东外语外贸大学白云山校区2026年学生公寓床等家具采购项目):</w:t>
      </w:r>
    </w:p>
    <w:p>
      <w:pPr>
        <w:pStyle w:val="null3"/>
      </w:pPr>
      <w:r>
        <w:rPr/>
        <w:t>采购包预算金额：6,070,000.00元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钢木床类</w:t>
            </w:r>
          </w:p>
        </w:tc>
        <w:tc>
          <w:tcPr>
            <w:tcW w:type="dxa" w:w="2136"/>
          </w:tcPr>
          <w:p>
            <w:pPr>
              <w:pStyle w:val="null3"/>
            </w:pPr>
            <w:r>
              <w:rPr/>
              <w:t>白云山校区2026年学生公寓床等家具</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钢木床类</w:t>
            </w:r>
          </w:p>
        </w:tc>
        <w:tc>
          <w:tcPr>
            <w:tcW w:type="dxa" w:w="2076"/>
          </w:tcPr>
          <w:p>
            <w:pPr>
              <w:pStyle w:val="null3"/>
              <w:jc w:val="left"/>
            </w:pPr>
            <w:r>
              <w:rPr/>
              <w:t>白云山校区2026年学生公寓床等家具</w:t>
            </w:r>
          </w:p>
        </w:tc>
        <w:tc>
          <w:tcPr>
            <w:tcW w:type="dxa" w:w="2076"/>
          </w:tcPr>
          <w:p>
            <w:pPr>
              <w:pStyle w:val="null3"/>
              <w:jc w:val="left"/>
            </w:pPr>
            <w:r>
              <w:rPr/>
              <w:t>广东外语外贸大学白云山校区2026年学生公寓床等家具</w:t>
            </w:r>
          </w:p>
        </w:tc>
      </w:tr>
    </w:tbl>
    <w:p>
      <w:pPr>
        <w:pStyle w:val="null3"/>
      </w:pPr>
      <w:r>
        <w:rPr/>
        <w:t>本采购包不接受联合体投标</w:t>
      </w:r>
    </w:p>
    <w:p>
      <w:pPr>
        <w:pStyle w:val="null3"/>
      </w:pPr>
      <w:r>
        <w:rPr/>
        <w:t>合同分包：不允许合同分包</w:t>
      </w:r>
    </w:p>
    <w:p>
      <w:pPr>
        <w:pStyle w:val="null3"/>
      </w:pPr>
      <w:r>
        <w:rPr/>
        <w:t>合同履行期限：项目采购合同生效之日起至甲乙双方义务履行完毕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2）有依法缴纳税收和社会保障资金的良好记录：提供资格声明函（格式详见公告附件）</w:t>
      </w:r>
    </w:p>
    <w:p>
      <w:pPr>
        <w:pStyle w:val="null3"/>
      </w:pPr>
      <w:r>
        <w:rPr/>
        <w:t>3）具有良好的商业信誉和健全的财务会计制度：提供资格声明函（格式详见公告附件）</w:t>
      </w:r>
    </w:p>
    <w:p>
      <w:pPr>
        <w:pStyle w:val="null3"/>
      </w:pPr>
      <w:r>
        <w:rPr/>
        <w:t>4）履行合同所必需的设备和专业技术能力：提供资格声明函（格式详见公告附件）</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采购包1（广东外语外贸大学白云山校区2026年学生公寓床等家具采购项目）：</w:t>
      </w:r>
      <w:r>
        <w:rPr/>
        <w:t>本采购包专门面向中小企业采购。供应商提供的所有产品须全部由中小企业生产且使用该中小企业商号或注册商标。中小企业须符合本项目采购标的对应行业（工业）的政策划分标准。监狱企业、残疾人福利单位视同小型、微型企业。 注：中小企业应填写的《中小企业声明函（货物）》（见投标格式）为判定标准，残疾人福利性单位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采购包1（广东外语外贸大学白云山校区2026年学生公寓床等家具采购项目）：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广东和盛招标代理有限公司官网（http://www.gdhsbid.com/）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广东外语外贸大学</w:t>
      </w:r>
    </w:p>
    <w:p>
      <w:pPr>
        <w:pStyle w:val="null3"/>
        <w:ind w:firstLine="480"/>
      </w:pPr>
      <w:r>
        <w:rPr/>
        <w:t xml:space="preserve"> 地址：</w:t>
      </w:r>
      <w:r>
        <w:rPr/>
        <w:t>广东省广州市白云区白云大道北2号</w:t>
      </w:r>
    </w:p>
    <w:p>
      <w:pPr>
        <w:pStyle w:val="null3"/>
        <w:ind w:firstLine="480"/>
      </w:pPr>
      <w:r>
        <w:rPr/>
        <w:t xml:space="preserve"> 联系方式：</w:t>
      </w:r>
      <w:r>
        <w:rPr/>
        <w:t>020-36207135</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广东省广州市白云区广州市白云区政民路17号301、302、303、304室</w:t>
      </w:r>
    </w:p>
    <w:p>
      <w:pPr>
        <w:pStyle w:val="null3"/>
        <w:ind w:firstLine="480"/>
      </w:pPr>
      <w:r>
        <w:rPr/>
        <w:t xml:space="preserve"> 联系方式：</w:t>
      </w:r>
      <w:r>
        <w:rPr/>
        <w:t>020-37023498</w:t>
      </w:r>
    </w:p>
    <w:p>
      <w:pPr>
        <w:pStyle w:val="null3"/>
        <w:outlineLvl w:val="3"/>
      </w:pPr>
      <w:r>
        <w:rPr>
          <w:sz w:val="24"/>
          <w:b/>
        </w:rPr>
        <w:t xml:space="preserve"> 3.项目联系方式</w:t>
      </w:r>
    </w:p>
    <w:p>
      <w:pPr>
        <w:pStyle w:val="null3"/>
        <w:ind w:firstLine="480"/>
      </w:pPr>
      <w:r>
        <w:rPr/>
        <w:t xml:space="preserve"> 项目联系人：</w:t>
      </w:r>
      <w:r>
        <w:rPr/>
        <w:t>陈镍</w:t>
      </w:r>
    </w:p>
    <w:p>
      <w:pPr>
        <w:pStyle w:val="null3"/>
        <w:ind w:firstLine="480"/>
      </w:pPr>
      <w:r>
        <w:rPr/>
        <w:t xml:space="preserve"> 电话：</w:t>
      </w:r>
      <w:r>
        <w:rPr/>
        <w:t>020-37023498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（一）项目总体要求</w:t>
      </w:r>
    </w:p>
    <w:p>
      <w:pPr>
        <w:pStyle w:val="null3"/>
        <w:ind w:firstLine="400"/>
        <w:jc w:val="both"/>
      </w:pPr>
      <w:r>
        <w:rPr>
          <w:sz w:val="20"/>
        </w:rPr>
        <w:t>1.本用户需求书中标注“★”条款的，投标人必须作出响应，如作负偏离响应或不作响应的，视为无效投标处理；标注“▲”条款为重要技术要求，投标人所投设备如未响应或负偏离，将导致其严重扣分。</w:t>
      </w:r>
    </w:p>
    <w:p>
      <w:pPr>
        <w:pStyle w:val="null3"/>
        <w:ind w:firstLine="400"/>
        <w:jc w:val="both"/>
      </w:pPr>
      <w:r>
        <w:rPr>
          <w:sz w:val="20"/>
        </w:rPr>
        <w:t>2.落实政府采购政策需满足的要求：根据《关于印发中小企业划型标准规定的通知》（工信部联企业〔2011〕300号）规定，</w:t>
      </w:r>
      <w:r>
        <w:rPr>
          <w:sz w:val="20"/>
          <w:b/>
        </w:rPr>
        <w:t>本项目对应的中小企业划分标准所属行业为：</w:t>
      </w:r>
      <w:r>
        <w:rPr>
          <w:sz w:val="20"/>
          <w:b/>
          <w:u w:val="single"/>
        </w:rPr>
        <w:t>工业</w:t>
      </w:r>
      <w:r>
        <w:rPr>
          <w:sz w:val="20"/>
        </w:rPr>
        <w:t>。</w:t>
      </w:r>
    </w:p>
    <w:p>
      <w:pPr>
        <w:pStyle w:val="null3"/>
        <w:ind w:firstLine="400"/>
      </w:pPr>
      <w:r>
        <w:rPr>
          <w:sz w:val="20"/>
        </w:rPr>
        <w:t>3.投标总报价包括：</w:t>
      </w:r>
    </w:p>
    <w:p>
      <w:pPr>
        <w:pStyle w:val="null3"/>
        <w:ind w:firstLine="400"/>
      </w:pPr>
      <w:r>
        <w:rPr>
          <w:sz w:val="20"/>
        </w:rPr>
        <w:t>（</w:t>
      </w:r>
      <w:r>
        <w:rPr>
          <w:sz w:val="20"/>
        </w:rPr>
        <w:t>1）本次购置新家具的设计、生产、运输、安装调试、税费、保险、验收、人工、质保期技术支持、售后服务及合同实施过程中应预见和不可预见的费用等。</w:t>
      </w:r>
    </w:p>
    <w:p>
      <w:pPr>
        <w:pStyle w:val="null3"/>
        <w:ind w:firstLine="400"/>
      </w:pPr>
      <w:r>
        <w:rPr>
          <w:sz w:val="20"/>
        </w:rPr>
        <w:t>（</w:t>
      </w:r>
      <w:r>
        <w:rPr>
          <w:sz w:val="20"/>
        </w:rPr>
        <w:t>2）本项目中的技术规格、参数及要求为采购人的基本要求。中标人应根据现场实际情况，在满足采购人基本要求的前提下细化技术规格、参数及要求，并制作相应的样品。待样品经采购人书面确认后方可全面投入生产。</w:t>
      </w:r>
    </w:p>
    <w:p>
      <w:pPr>
        <w:pStyle w:val="null3"/>
        <w:ind w:firstLine="400"/>
        <w:jc w:val="both"/>
      </w:pPr>
      <w:r>
        <w:rPr>
          <w:sz w:val="20"/>
        </w:rPr>
        <w:t>4</w:t>
      </w:r>
      <w:r>
        <w:rPr>
          <w:sz w:val="20"/>
        </w:rPr>
        <w:t>.本项目的核心产品为：</w:t>
      </w:r>
      <w:r>
        <w:rPr>
          <w:sz w:val="20"/>
          <w:b/>
          <w:u w:val="single"/>
        </w:rPr>
        <w:t>公寓组合床（三人位爬梯）、学生椅</w:t>
      </w:r>
      <w:r>
        <w:rPr>
          <w:sz w:val="20"/>
        </w:rPr>
        <w:t>。根据相关规定提供相同品牌产品且通过资格审查、符合性审查的不同投标人参加同一合同项下投标的，按一家投标人计算。</w:t>
      </w:r>
    </w:p>
    <w:p>
      <w:pPr>
        <w:pStyle w:val="null3"/>
        <w:ind w:firstLine="400"/>
        <w:jc w:val="both"/>
      </w:pPr>
      <w:r>
        <w:rPr>
          <w:sz w:val="20"/>
        </w:rPr>
        <w:t>5</w:t>
      </w:r>
      <w:r>
        <w:rPr>
          <w:sz w:val="20"/>
        </w:rPr>
        <w:t>.投标人所投设备及材料应是原厂原装、全新无污染的产品。</w:t>
      </w:r>
    </w:p>
    <w:p>
      <w:pPr>
        <w:pStyle w:val="null3"/>
        <w:ind w:firstLine="400"/>
        <w:jc w:val="both"/>
      </w:pPr>
      <w:r>
        <w:rPr>
          <w:sz w:val="20"/>
        </w:rPr>
        <w:t>6</w:t>
      </w:r>
      <w:r>
        <w:rPr>
          <w:sz w:val="20"/>
        </w:rPr>
        <w:t>.投标人应对投标产品列明其品牌、型号、制造商名称、产地、技术参数、功能介绍和使用说明。</w:t>
      </w:r>
    </w:p>
    <w:p>
      <w:pPr>
        <w:pStyle w:val="null3"/>
        <w:ind w:firstLine="400"/>
        <w:jc w:val="both"/>
      </w:pPr>
      <w:r>
        <w:rPr>
          <w:sz w:val="20"/>
        </w:rPr>
        <w:t>7</w:t>
      </w:r>
      <w:r>
        <w:rPr>
          <w:sz w:val="20"/>
        </w:rPr>
        <w:t>.伴随服务：全部设备的运输、安装、调试和人员培训、售后服务等（费用包含在投标总价内）。</w:t>
      </w:r>
    </w:p>
    <w:p>
      <w:pPr>
        <w:pStyle w:val="null3"/>
        <w:ind w:firstLine="400"/>
        <w:jc w:val="both"/>
      </w:pPr>
      <w:r>
        <w:rPr>
          <w:sz w:val="20"/>
        </w:rPr>
        <w:t>8</w:t>
      </w:r>
      <w:r>
        <w:rPr>
          <w:sz w:val="20"/>
        </w:rPr>
        <w:t>.本项目采购本国产品（本国产品是指不需要通过中国海关报关验放已在中国境内且产自关境内的产品）。</w:t>
      </w:r>
    </w:p>
    <w:p>
      <w:pPr>
        <w:pStyle w:val="null3"/>
        <w:ind w:firstLine="400"/>
        <w:jc w:val="both"/>
      </w:pPr>
      <w:r>
        <w:rPr>
          <w:sz w:val="20"/>
        </w:rPr>
        <w:t>9</w:t>
      </w:r>
      <w:r>
        <w:rPr>
          <w:sz w:val="20"/>
        </w:rPr>
        <w:t>.本项目属性：货物采购。</w:t>
      </w:r>
    </w:p>
    <w:p>
      <w:pPr>
        <w:pStyle w:val="null3"/>
        <w:ind w:firstLine="402"/>
        <w:jc w:val="both"/>
      </w:pPr>
      <w:r>
        <w:rPr>
          <w:sz w:val="20"/>
          <w:b/>
        </w:rPr>
        <w:t>1</w:t>
      </w:r>
      <w:r>
        <w:rPr>
          <w:sz w:val="20"/>
          <w:b/>
        </w:rPr>
        <w:t>0</w:t>
      </w:r>
      <w:r>
        <w:rPr>
          <w:sz w:val="20"/>
          <w:b/>
        </w:rPr>
        <w:t>.投标人必须对项目内全部内容进行投标，不允许只对其中部分内容进行投标，否则将作无效投标处理。</w:t>
      </w:r>
    </w:p>
    <w:p>
      <w:pPr>
        <w:pStyle w:val="null3"/>
        <w:jc w:val="both"/>
      </w:pPr>
      <w:r>
        <w:rPr>
          <w:sz w:val="20"/>
          <w:b/>
        </w:rPr>
        <w:t>（二）项目说明</w:t>
      </w:r>
    </w:p>
    <w:p>
      <w:pPr>
        <w:pStyle w:val="null3"/>
        <w:ind w:firstLine="400"/>
        <w:jc w:val="both"/>
      </w:pPr>
      <w:r>
        <w:rPr>
          <w:sz w:val="20"/>
        </w:rPr>
        <w:t>1.本项目用户需求仅作为技术/服务的客观描述，无限制性或指向性。</w:t>
      </w:r>
    </w:p>
    <w:p>
      <w:pPr>
        <w:pStyle w:val="null3"/>
        <w:ind w:firstLine="400"/>
        <w:jc w:val="both"/>
      </w:pPr>
      <w:r>
        <w:rPr>
          <w:sz w:val="20"/>
        </w:rPr>
        <w:t>2.以下有关政策、标准、规范等，如有更新的，以最新现行版本为准。</w:t>
      </w:r>
    </w:p>
    <w:p>
      <w:pPr>
        <w:pStyle w:val="null3"/>
        <w:ind w:firstLine="400"/>
        <w:jc w:val="both"/>
      </w:pPr>
      <w:r>
        <w:rPr>
          <w:sz w:val="20"/>
        </w:rPr>
        <w:t>3.除另有说明外，以下需求所述的“大于”“小于”“以上”“以下”等描述或符号均包含本数。</w:t>
      </w:r>
    </w:p>
    <w:p>
      <w:pPr>
        <w:pStyle w:val="null3"/>
        <w:ind w:firstLine="400"/>
        <w:jc w:val="both"/>
      </w:pPr>
      <w:r>
        <w:rPr>
          <w:sz w:val="20"/>
        </w:rPr>
        <w:t>4.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00"/>
        <w:jc w:val="both"/>
      </w:pPr>
      <w:r>
        <w:rPr>
          <w:sz w:val="20"/>
        </w:rPr>
        <w:t>5.本项目用户需求书中有关配置的要求仅列出主要设备/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0"/>
          <w:b/>
        </w:rPr>
        <w:t>（</w:t>
      </w:r>
      <w:r>
        <w:rPr>
          <w:sz w:val="20"/>
          <w:b/>
        </w:rPr>
        <w:t>三</w:t>
      </w:r>
      <w:r>
        <w:rPr>
          <w:sz w:val="20"/>
          <w:b/>
        </w:rPr>
        <w:t>）</w:t>
      </w:r>
      <w:r>
        <w:rPr>
          <w:sz w:val="20"/>
          <w:b/>
        </w:rPr>
        <w:t>项目概述</w:t>
      </w:r>
    </w:p>
    <w:p>
      <w:pPr>
        <w:pStyle w:val="null3"/>
        <w:ind w:firstLine="480"/>
        <w:jc w:val="both"/>
      </w:pPr>
      <w:r>
        <w:rPr>
          <w:sz w:val="20"/>
        </w:rPr>
        <w:t>广东外语外贸大学白云山校区</w:t>
      </w:r>
      <w:r>
        <w:rPr>
          <w:sz w:val="20"/>
        </w:rPr>
        <w:t>云山学</w:t>
      </w:r>
      <w:r>
        <w:rPr>
          <w:sz w:val="20"/>
        </w:rPr>
        <w:t>1栋及12栋两</w:t>
      </w:r>
      <w:r>
        <w:rPr>
          <w:sz w:val="20"/>
        </w:rPr>
        <w:t>个学生宿舍楼栋</w:t>
      </w:r>
      <w:r>
        <w:rPr>
          <w:sz w:val="20"/>
        </w:rPr>
        <w:t>可容纳</w:t>
      </w:r>
      <w:r>
        <w:rPr>
          <w:sz w:val="20"/>
        </w:rPr>
        <w:t>2462个床位（其中1栋1188床、12栋1274床）</w:t>
      </w:r>
      <w:r>
        <w:rPr>
          <w:sz w:val="20"/>
        </w:rPr>
        <w:t>，对</w:t>
      </w:r>
      <w:r>
        <w:rPr>
          <w:sz w:val="20"/>
        </w:rPr>
        <w:t>其</w:t>
      </w:r>
      <w:r>
        <w:rPr>
          <w:sz w:val="20"/>
        </w:rPr>
        <w:t>内已达报废年限的床、桌、椅、柜进行更换</w:t>
      </w:r>
      <w:r>
        <w:rPr>
          <w:sz w:val="20"/>
        </w:rPr>
        <w:t>，</w:t>
      </w:r>
      <w:r>
        <w:rPr>
          <w:sz w:val="20"/>
        </w:rPr>
        <w:t>供</w:t>
      </w:r>
      <w:r>
        <w:rPr>
          <w:sz w:val="20"/>
        </w:rPr>
        <w:t>2460</w:t>
      </w:r>
      <w:r>
        <w:rPr>
          <w:sz w:val="20"/>
        </w:rPr>
        <w:t>名学生住宿日常学习、生活、睡眠、储物使用</w:t>
      </w:r>
      <w:r>
        <w:rPr>
          <w:sz w:val="20"/>
        </w:rPr>
        <w:t>；</w:t>
      </w:r>
      <w:r>
        <w:rPr>
          <w:sz w:val="20"/>
        </w:rPr>
        <w:t>各栋值班室共</w:t>
      </w:r>
      <w:r>
        <w:rPr>
          <w:sz w:val="20"/>
        </w:rPr>
        <w:t>12个，需更换老旧桌子、茶水台、会客区、钥匙柜等公共设施</w:t>
      </w:r>
      <w:r>
        <w:rPr>
          <w:sz w:val="20"/>
        </w:rPr>
        <w:t>。</w:t>
      </w:r>
    </w:p>
    <w:p>
      <w:pPr>
        <w:pStyle w:val="null3"/>
        <w:jc w:val="both"/>
      </w:pPr>
      <w:r>
        <w:rPr>
          <w:sz w:val="20"/>
          <w:b/>
        </w:rPr>
        <w:t>（五）项目</w:t>
      </w:r>
      <w:r>
        <w:rPr>
          <w:sz w:val="20"/>
          <w:b/>
        </w:rPr>
        <w:t>采购</w:t>
      </w:r>
      <w:r>
        <w:rPr>
          <w:sz w:val="20"/>
          <w:b/>
        </w:rPr>
        <w:t>内容</w:t>
      </w:r>
    </w:p>
    <w:p>
      <w:pPr>
        <w:pStyle w:val="null3"/>
        <w:jc w:val="both"/>
      </w:pPr>
      <w:r>
        <w:rPr>
          <w:sz w:val="20"/>
          <w:b/>
        </w:rPr>
        <w:t>一）</w:t>
      </w:r>
      <w:r>
        <w:rPr>
          <w:sz w:val="20"/>
          <w:b/>
        </w:rPr>
        <w:t>采购</w:t>
      </w:r>
      <w:r>
        <w:rPr>
          <w:sz w:val="20"/>
          <w:b/>
        </w:rPr>
        <w:t>内容</w:t>
      </w:r>
    </w:p>
    <w:p>
      <w:pPr>
        <w:pStyle w:val="null3"/>
        <w:ind w:firstLine="480"/>
        <w:jc w:val="both"/>
      </w:pPr>
      <w:r>
        <w:rPr>
          <w:sz w:val="20"/>
        </w:rPr>
        <w:t>广东外语外贸大学白云山校区</w:t>
      </w:r>
      <w:r>
        <w:rPr>
          <w:sz w:val="20"/>
        </w:rPr>
        <w:t>2026年学生公寓床等家具</w:t>
      </w:r>
      <w:r>
        <w:rPr>
          <w:sz w:val="20"/>
        </w:rPr>
        <w:t>。</w:t>
      </w:r>
    </w:p>
    <w:p>
      <w:pPr>
        <w:pStyle w:val="null3"/>
        <w:jc w:val="both"/>
      </w:pPr>
      <w:r>
        <w:rPr>
          <w:sz w:val="20"/>
          <w:b/>
        </w:rPr>
        <w:t>二）采购清单</w:t>
      </w:r>
    </w:p>
    <w:tbl>
      <w:tblPr>
        <w:tblW w:w="0" w:type="auto"/>
        <w:tblBorders>
          <w:top w:val="none" w:color="000000" w:sz="4"/>
          <w:left w:val="none" w:color="000000" w:sz="4"/>
          <w:bottom w:val="none" w:color="000000" w:sz="4"/>
          <w:right w:val="none" w:color="000000" w:sz="4"/>
          <w:insideH w:val="none"/>
          <w:insideV w:val="none"/>
        </w:tblBorders>
      </w:tblPr>
      <w:tblGrid>
        <w:gridCol w:w="603"/>
        <w:gridCol w:w="1668"/>
        <w:gridCol w:w="1004"/>
        <w:gridCol w:w="808"/>
        <w:gridCol w:w="1110"/>
        <w:gridCol w:w="1107"/>
        <w:gridCol w:w="874"/>
        <w:gridCol w:w="1130"/>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采购内容</w:t>
            </w:r>
          </w:p>
        </w:tc>
        <w:tc>
          <w:tcPr>
            <w:tcW w:type="dxa" w:w="10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8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最高单价</w:t>
            </w:r>
            <w:r>
              <w:rPr>
                <w:sz w:val="20"/>
                <w:b/>
              </w:rPr>
              <w:t>限价</w:t>
            </w:r>
          </w:p>
          <w:p>
            <w:pPr>
              <w:pStyle w:val="null3"/>
              <w:jc w:val="center"/>
            </w:pPr>
            <w:r>
              <w:rPr>
                <w:sz w:val="20"/>
                <w:b/>
              </w:rPr>
              <w:t>（元）</w:t>
            </w:r>
          </w:p>
        </w:tc>
        <w:tc>
          <w:tcPr>
            <w:tcW w:type="dxa" w:w="11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最高单价</w:t>
            </w:r>
            <w:r>
              <w:rPr>
                <w:sz w:val="20"/>
                <w:b/>
              </w:rPr>
              <w:t>限价合计</w:t>
            </w:r>
          </w:p>
          <w:p>
            <w:pPr>
              <w:pStyle w:val="null3"/>
              <w:jc w:val="center"/>
            </w:pPr>
            <w:r>
              <w:rPr>
                <w:sz w:val="20"/>
                <w:b/>
              </w:rPr>
              <w:t>（元）</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c>
          <w:tcPr>
            <w:tcW w:type="dxa" w:w="1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安装位置</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公寓组合床（单人位走梯）</w:t>
            </w: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2400</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67200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1位/套</w:t>
            </w:r>
          </w:p>
        </w:tc>
        <w:tc>
          <w:tcPr>
            <w:tcW w:type="dxa" w:w="1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云山</w:t>
            </w:r>
            <w:r>
              <w:rPr>
                <w:sz w:val="20"/>
              </w:rPr>
              <w:t>1栋、12栋学生宿舍</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公寓组合床（双人位走梯）</w:t>
            </w: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4400</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272800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2位/套</w:t>
            </w:r>
          </w:p>
        </w:tc>
        <w:tc>
          <w:tcPr>
            <w:tcW w:type="dxa" w:w="1130"/>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公寓组合床（三人位走梯）</w:t>
            </w: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340</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6800</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2312000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3位/套</w:t>
            </w:r>
          </w:p>
        </w:tc>
        <w:tc>
          <w:tcPr>
            <w:tcW w:type="dxa" w:w="1130"/>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公寓组合床（单人位爬梯）</w:t>
            </w: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2250</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76500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1位/套</w:t>
            </w:r>
          </w:p>
        </w:tc>
        <w:tc>
          <w:tcPr>
            <w:tcW w:type="dxa" w:w="1130"/>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公寓组合床（双人位爬梯）</w:t>
            </w: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4300</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137600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2位/套</w:t>
            </w:r>
          </w:p>
        </w:tc>
        <w:tc>
          <w:tcPr>
            <w:tcW w:type="dxa" w:w="1130"/>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公寓组合床（三人位爬梯）</w:t>
            </w: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392</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6300</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2469600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3位/套</w:t>
            </w:r>
          </w:p>
        </w:tc>
        <w:tc>
          <w:tcPr>
            <w:tcW w:type="dxa" w:w="1130"/>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公寓组合床（双人位加长）</w:t>
            </w: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4600</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23000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1位/套</w:t>
            </w:r>
          </w:p>
        </w:tc>
        <w:tc>
          <w:tcPr>
            <w:tcW w:type="dxa" w:w="1130"/>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无障碍家具</w:t>
            </w: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2400</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9600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1位/套</w:t>
            </w:r>
          </w:p>
        </w:tc>
        <w:tc>
          <w:tcPr>
            <w:tcW w:type="dxa" w:w="1130"/>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学生椅</w:t>
            </w: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2460</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319800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1位/张</w:t>
            </w:r>
          </w:p>
        </w:tc>
        <w:tc>
          <w:tcPr>
            <w:tcW w:type="dxa" w:w="1130"/>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床板</w:t>
            </w: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2460</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287820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1位/张</w:t>
            </w:r>
          </w:p>
        </w:tc>
        <w:tc>
          <w:tcPr>
            <w:tcW w:type="dxa" w:w="1130"/>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钢架书桌</w:t>
            </w: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610</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9150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值班室</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椅子</w:t>
            </w: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280</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5600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130"/>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更衣柜（</w:t>
            </w:r>
            <w:r>
              <w:rPr>
                <w:sz w:val="20"/>
              </w:rPr>
              <w:t>4节）</w:t>
            </w: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1320</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13200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130"/>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茶水柜</w:t>
            </w: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790</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7110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130"/>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钥匙柜</w:t>
            </w: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1430</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14300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130"/>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沙发</w:t>
            </w: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2280</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29640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130"/>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茶几</w:t>
            </w: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580</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2320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130"/>
            <w:vMerge/>
            <w:tcBorders>
              <w:top w:val="none" w:color="000000" w:sz="4"/>
              <w:left w:val="single" w:color="000000" w:sz="4"/>
              <w:bottom w:val="single" w:color="000000" w:sz="4"/>
              <w:right w:val="single" w:color="000000" w:sz="4"/>
            </w:tcBorders>
          </w:tc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前台</w:t>
            </w:r>
          </w:p>
        </w:tc>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6380</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12760</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130"/>
            <w:vMerge/>
            <w:tcBorders>
              <w:top w:val="none" w:color="000000" w:sz="4"/>
              <w:left w:val="single" w:color="000000" w:sz="4"/>
              <w:bottom w:val="single" w:color="000000" w:sz="4"/>
              <w:right w:val="single" w:color="000000" w:sz="4"/>
            </w:tcBorders>
          </w:tcPr>
          <w:p/>
        </w:tc>
      </w:tr>
      <w:tr>
        <w:tc>
          <w:tcPr>
            <w:tcW w:type="dxa" w:w="519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合计人民币（元）</w:t>
            </w:r>
          </w:p>
        </w:tc>
        <w:tc>
          <w:tcPr>
            <w:tcW w:type="dxa" w:w="311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6070000</w:t>
            </w:r>
          </w:p>
        </w:tc>
      </w:tr>
    </w:tbl>
    <w:p>
      <w:pPr>
        <w:pStyle w:val="null3"/>
        <w:jc w:val="both"/>
      </w:pPr>
      <w:r>
        <w:rPr>
          <w:sz w:val="20"/>
          <w:b/>
          <w:u w:val="single"/>
        </w:rPr>
        <w:t>备注：投标人须根据《</w:t>
      </w:r>
      <w:r>
        <w:rPr>
          <w:sz w:val="20"/>
          <w:b/>
          <w:u w:val="single"/>
        </w:rPr>
        <w:t>采购清单</w:t>
      </w:r>
      <w:r>
        <w:rPr>
          <w:sz w:val="20"/>
          <w:b/>
          <w:u w:val="single"/>
        </w:rPr>
        <w:t>》各采购内容进行投标单价报价，超过最高单价限价的投标单价报价将被视为无效投标。</w:t>
      </w:r>
    </w:p>
    <w:p>
      <w:pPr>
        <w:pStyle w:val="null3"/>
        <w:jc w:val="both"/>
      </w:pPr>
      <w:r>
        <w:rPr>
          <w:sz w:val="20"/>
          <w:b/>
        </w:rPr>
        <w:t>（六）技术要求</w:t>
      </w:r>
    </w:p>
    <w:p>
      <w:pPr>
        <w:pStyle w:val="null3"/>
        <w:jc w:val="left"/>
      </w:pPr>
      <w:r>
        <w:rPr>
          <w:sz w:val="20"/>
          <w:b/>
        </w:rPr>
        <w:t>一）技术指标要求</w:t>
      </w:r>
    </w:p>
    <w:p>
      <w:pPr>
        <w:pStyle w:val="null3"/>
        <w:jc w:val="left"/>
      </w:pPr>
      <w:r>
        <w:rPr>
          <w:sz w:val="20"/>
          <w:b/>
        </w:rPr>
        <w:t>1、产品款式及尺寸要求</w:t>
      </w:r>
    </w:p>
    <w:tbl>
      <w:tblPr>
        <w:tblW w:w="0" w:type="auto"/>
        <w:tblBorders>
          <w:top w:val="none" w:color="000000" w:sz="4"/>
          <w:left w:val="none" w:color="000000" w:sz="4"/>
          <w:bottom w:val="none" w:color="000000" w:sz="4"/>
          <w:right w:val="none" w:color="000000" w:sz="4"/>
          <w:insideH w:val="none"/>
          <w:insideV w:val="none"/>
        </w:tblBorders>
      </w:tblPr>
      <w:tblGrid>
        <w:gridCol w:w="397"/>
        <w:gridCol w:w="617"/>
        <w:gridCol w:w="2821"/>
        <w:gridCol w:w="4467"/>
      </w:tblGrid>
      <w:tr>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2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规格（</w:t>
            </w:r>
            <w:r>
              <w:rPr>
                <w:sz w:val="20"/>
                <w:b/>
              </w:rPr>
              <w:t>mm）</w:t>
            </w:r>
          </w:p>
        </w:tc>
        <w:tc>
          <w:tcPr>
            <w:tcW w:type="dxa" w:w="4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材质工艺要求说明</w:t>
            </w:r>
          </w:p>
        </w:tc>
      </w:tr>
      <w:tr>
        <w:tc>
          <w:tcPr>
            <w:tcW w:type="dxa" w:w="830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宿舍房间</w:t>
            </w:r>
          </w:p>
        </w:tc>
      </w:tr>
      <w:tr>
        <w:tc>
          <w:tcPr>
            <w:tcW w:type="dxa" w:w="39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1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公寓床床架</w:t>
            </w:r>
            <w:r>
              <w:rPr>
                <w:sz w:val="20"/>
              </w:rPr>
              <w:t>/无障碍床架</w:t>
            </w:r>
          </w:p>
        </w:tc>
        <w:tc>
          <w:tcPr>
            <w:tcW w:type="dxa" w:w="282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0"/>
              </w:rPr>
              <w:t>外形、结构（见家具设计图），整体尺寸如下：</w:t>
            </w:r>
          </w:p>
          <w:p>
            <w:pPr>
              <w:pStyle w:val="null3"/>
              <w:numPr>
                <w:ilvl w:val="0"/>
                <w:numId w:val="1"/>
              </w:numPr>
              <w:jc w:val="left"/>
            </w:pPr>
            <w:r>
              <w:rPr>
                <w:sz w:val="20"/>
              </w:rPr>
              <w:t>单人床架走梯：</w:t>
            </w:r>
            <w:r>
              <w:rPr>
                <w:sz w:val="20"/>
              </w:rPr>
              <w:t>L2350mm*W950mm*H2180mm（±10mm）</w:t>
            </w:r>
          </w:p>
          <w:p>
            <w:pPr>
              <w:pStyle w:val="null3"/>
              <w:numPr>
                <w:ilvl w:val="0"/>
                <w:numId w:val="1"/>
              </w:numPr>
              <w:jc w:val="left"/>
            </w:pPr>
            <w:r>
              <w:rPr>
                <w:sz w:val="20"/>
              </w:rPr>
              <w:t>双人床架走梯：</w:t>
            </w:r>
            <w:r>
              <w:rPr>
                <w:sz w:val="20"/>
              </w:rPr>
              <w:t>L4300mm*W950mm*H2180mm（±10mm）</w:t>
            </w:r>
          </w:p>
          <w:p>
            <w:pPr>
              <w:pStyle w:val="null3"/>
              <w:numPr>
                <w:ilvl w:val="0"/>
                <w:numId w:val="1"/>
              </w:numPr>
              <w:jc w:val="left"/>
            </w:pPr>
            <w:r>
              <w:rPr>
                <w:sz w:val="20"/>
              </w:rPr>
              <w:t>三人床架走梯：</w:t>
            </w:r>
            <w:r>
              <w:rPr>
                <w:sz w:val="20"/>
              </w:rPr>
              <w:t>L6650mm*W950mm*H2180mm（±10mm）</w:t>
            </w:r>
          </w:p>
          <w:p>
            <w:pPr>
              <w:pStyle w:val="null3"/>
              <w:numPr>
                <w:ilvl w:val="0"/>
                <w:numId w:val="1"/>
              </w:numPr>
              <w:jc w:val="left"/>
            </w:pPr>
            <w:r>
              <w:rPr>
                <w:sz w:val="20"/>
              </w:rPr>
              <w:t>单人床架挂梯：</w:t>
            </w:r>
            <w:r>
              <w:rPr>
                <w:sz w:val="20"/>
              </w:rPr>
              <w:t>L1950mm*W（950+300）mm*H2180mm（±10mm）</w:t>
            </w:r>
          </w:p>
          <w:p>
            <w:pPr>
              <w:pStyle w:val="null3"/>
              <w:numPr>
                <w:ilvl w:val="0"/>
                <w:numId w:val="1"/>
              </w:numPr>
              <w:jc w:val="left"/>
            </w:pPr>
            <w:r>
              <w:rPr>
                <w:sz w:val="20"/>
              </w:rPr>
              <w:t>双人床架挂梯：</w:t>
            </w:r>
            <w:r>
              <w:rPr>
                <w:sz w:val="20"/>
              </w:rPr>
              <w:t>L3870mm*W（950+300）mm*H2180mm（±10mm）</w:t>
            </w:r>
          </w:p>
          <w:p>
            <w:pPr>
              <w:pStyle w:val="null3"/>
              <w:numPr>
                <w:ilvl w:val="0"/>
                <w:numId w:val="1"/>
              </w:numPr>
              <w:jc w:val="left"/>
            </w:pPr>
            <w:r>
              <w:rPr>
                <w:sz w:val="20"/>
              </w:rPr>
              <w:t>三人床架挂梯：</w:t>
            </w:r>
            <w:r>
              <w:rPr>
                <w:sz w:val="20"/>
              </w:rPr>
              <w:t>L5790mm*W（950+300）mm*H2180mm（±10mm）</w:t>
            </w:r>
          </w:p>
          <w:p>
            <w:pPr>
              <w:pStyle w:val="null3"/>
              <w:numPr>
                <w:ilvl w:val="0"/>
                <w:numId w:val="1"/>
              </w:numPr>
              <w:jc w:val="left"/>
            </w:pPr>
            <w:r>
              <w:rPr>
                <w:sz w:val="20"/>
              </w:rPr>
              <w:t>双人床架挂梯加长：</w:t>
            </w:r>
            <w:r>
              <w:rPr>
                <w:sz w:val="20"/>
              </w:rPr>
              <w:t>L4100mm*W（950+300）mm*H2180mm（±10mm）</w:t>
            </w:r>
          </w:p>
          <w:p>
            <w:pPr>
              <w:pStyle w:val="null3"/>
              <w:numPr>
                <w:ilvl w:val="0"/>
                <w:numId w:val="1"/>
              </w:numPr>
              <w:jc w:val="left"/>
            </w:pPr>
            <w:r>
              <w:rPr>
                <w:sz w:val="20"/>
              </w:rPr>
              <w:t>无障碍床架：</w:t>
            </w:r>
            <w:r>
              <w:rPr>
                <w:sz w:val="20"/>
              </w:rPr>
              <w:t>L1950mm*W950mm*H780/1680mm（±10mm）</w:t>
            </w:r>
          </w:p>
          <w:p>
            <w:pPr>
              <w:pStyle w:val="null3"/>
              <w:jc w:val="left"/>
            </w:pPr>
            <w:r>
              <w:rPr>
                <w:sz w:val="20"/>
              </w:rPr>
              <w:t>所有床架上床内净空</w:t>
            </w:r>
            <w:r>
              <w:rPr>
                <w:sz w:val="20"/>
              </w:rPr>
              <w:t>≥1910mm*910mm</w:t>
            </w: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床立柱：</w:t>
            </w:r>
            <w:r>
              <w:rPr>
                <w:sz w:val="20"/>
              </w:rPr>
              <w:t>采用</w:t>
            </w:r>
            <w:r>
              <w:rPr>
                <w:sz w:val="20"/>
              </w:rPr>
              <w:t>70mm*70mm（±5mm）</w:t>
            </w:r>
            <w:r>
              <w:rPr>
                <w:sz w:val="20"/>
              </w:rPr>
              <w:t>冷轧钢管</w:t>
            </w:r>
            <w:r>
              <w:rPr>
                <w:sz w:val="20"/>
              </w:rPr>
              <w:t>，厚度</w:t>
            </w:r>
            <w:r>
              <w:rPr>
                <w:sz w:val="20"/>
              </w:rPr>
              <w:t>≥1.2mm，</w:t>
            </w:r>
            <w:r>
              <w:rPr>
                <w:sz w:val="20"/>
              </w:rPr>
              <w:t>经特制成型线轧制而成，其立面为闭口异型管，外表面向人体接触面为圆弧</w:t>
            </w:r>
            <w:r>
              <w:rPr>
                <w:sz w:val="20"/>
              </w:rPr>
              <w:t>+斜角小圆简洁光滑防碰撞设计</w:t>
            </w:r>
            <w:r>
              <w:rPr>
                <w:sz w:val="20"/>
              </w:rPr>
              <w:t>。</w:t>
            </w:r>
          </w:p>
        </w:tc>
      </w:tr>
      <w:tr>
        <w:tc>
          <w:tcPr>
            <w:tcW w:type="dxa" w:w="397"/>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821"/>
            <w:vMerge/>
            <w:tcBorders>
              <w:top w:val="none" w:color="000000" w:sz="4"/>
              <w:left w:val="none" w:color="000000" w:sz="4"/>
              <w:bottom w:val="none" w:color="000000" w:sz="4"/>
              <w:right w:val="single" w:color="000000" w:sz="4"/>
            </w:tcBorders>
          </w:tcP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2.尼龙</w:t>
            </w:r>
            <w:r>
              <w:rPr>
                <w:sz w:val="20"/>
              </w:rPr>
              <w:t>塑料</w:t>
            </w:r>
            <w:r>
              <w:rPr>
                <w:sz w:val="20"/>
              </w:rPr>
              <w:t>防滑胶</w:t>
            </w:r>
            <w:r>
              <w:rPr>
                <w:sz w:val="20"/>
              </w:rPr>
              <w:t>塞</w:t>
            </w:r>
            <w:r>
              <w:rPr>
                <w:sz w:val="20"/>
              </w:rPr>
              <w:t>：</w:t>
            </w:r>
          </w:p>
          <w:p>
            <w:pPr>
              <w:pStyle w:val="null3"/>
              <w:jc w:val="left"/>
            </w:pPr>
            <w:r>
              <w:rPr>
                <w:sz w:val="20"/>
              </w:rPr>
              <w:t>2.1床立柱左后边配套内嵌式：厚≥2.0mm，内嵌部分高度65mm（±5mm），床立柱底部截面离地高度5mm（±3mm） 防滑脚塞形状与立柱完全吻合，脚塞与立柱应紧密结合，牢固、不易脱落，配套胶塞后，有效防水防潮。防滑脚塞与地面接触部分具有轮胎防滑纹路设计，具有防水、透气、防滑、防噪音的作用。</w:t>
            </w:r>
          </w:p>
          <w:p>
            <w:pPr>
              <w:pStyle w:val="null3"/>
              <w:jc w:val="left"/>
            </w:pPr>
            <w:r>
              <w:rPr>
                <w:sz w:val="20"/>
              </w:rPr>
              <w:t>2.2前三向接头：厚≥40mm，内嵌部分高度60mm（±5mm），长宽110mm*110mm（±10mm）,并设计有与护栏40*30mm（±3mm）管严密配合的内嵌式连接部分，内嵌深度为≥35mm，胶塞设计有可插入圆管的蚊帐杆，蚊帐杆插入胶塞深度90mm（±5mm）</w:t>
            </w:r>
          </w:p>
        </w:tc>
      </w:tr>
      <w:tr>
        <w:tc>
          <w:tcPr>
            <w:tcW w:type="dxa" w:w="397"/>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821"/>
            <w:vMerge/>
            <w:tcBorders>
              <w:top w:val="none" w:color="000000" w:sz="4"/>
              <w:left w:val="none" w:color="000000" w:sz="4"/>
              <w:bottom w:val="none" w:color="000000" w:sz="4"/>
              <w:right w:val="single" w:color="000000" w:sz="4"/>
            </w:tcBorders>
          </w:tcP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3</w:t>
            </w:r>
            <w:r>
              <w:rPr>
                <w:sz w:val="20"/>
              </w:rPr>
              <w:t>.</w:t>
            </w:r>
            <w:r>
              <w:rPr>
                <w:sz w:val="20"/>
              </w:rPr>
              <w:t>床长横梁：</w:t>
            </w:r>
          </w:p>
          <w:p>
            <w:pPr>
              <w:pStyle w:val="null3"/>
              <w:jc w:val="left"/>
            </w:pPr>
            <w:r>
              <w:rPr>
                <w:sz w:val="20"/>
              </w:rPr>
              <w:t>采用</w:t>
            </w:r>
            <w:r>
              <w:rPr>
                <w:sz w:val="20"/>
              </w:rPr>
              <w:t>80mm*30mm</w:t>
            </w:r>
            <w:r>
              <w:rPr>
                <w:sz w:val="20"/>
              </w:rPr>
              <w:t>(±</w:t>
            </w:r>
            <w:r>
              <w:rPr>
                <w:sz w:val="20"/>
              </w:rPr>
              <w:t>5</w:t>
            </w:r>
            <w:r>
              <w:rPr>
                <w:sz w:val="20"/>
              </w:rPr>
              <w:t>mm)冷轧钢管</w:t>
            </w:r>
            <w:r>
              <w:rPr>
                <w:sz w:val="20"/>
              </w:rPr>
              <w:t>，</w:t>
            </w:r>
            <w:r>
              <w:rPr>
                <w:sz w:val="20"/>
              </w:rPr>
              <w:t>厚度</w:t>
            </w:r>
            <w:r>
              <w:rPr>
                <w:sz w:val="20"/>
              </w:rPr>
              <w:t>≥1.2mm，横梁面向人体接触面为光滑平面防碰撞设计，起到防撞作用，前后横梁需焊接一个圆环、用于学生挂、帘表面经优质环保氧聚酯塑粉静电喷塑处理。</w:t>
            </w:r>
          </w:p>
        </w:tc>
      </w:tr>
      <w:tr>
        <w:tc>
          <w:tcPr>
            <w:tcW w:type="dxa" w:w="397"/>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821"/>
            <w:vMerge/>
            <w:tcBorders>
              <w:top w:val="none" w:color="000000" w:sz="4"/>
              <w:left w:val="none" w:color="000000" w:sz="4"/>
              <w:bottom w:val="none" w:color="000000" w:sz="4"/>
              <w:right w:val="single" w:color="000000" w:sz="4"/>
            </w:tcBorders>
          </w:tcP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r>
              <w:rPr>
                <w:sz w:val="20"/>
              </w:rPr>
              <w:t>.床</w:t>
            </w:r>
            <w:r>
              <w:rPr>
                <w:sz w:val="20"/>
              </w:rPr>
              <w:t>短</w:t>
            </w:r>
            <w:r>
              <w:rPr>
                <w:sz w:val="20"/>
              </w:rPr>
              <w:t>横梁</w:t>
            </w:r>
            <w:r>
              <w:rPr>
                <w:sz w:val="20"/>
              </w:rPr>
              <w:t>：</w:t>
            </w:r>
          </w:p>
          <w:p>
            <w:pPr>
              <w:pStyle w:val="null3"/>
              <w:jc w:val="left"/>
            </w:pPr>
            <w:r>
              <w:rPr>
                <w:sz w:val="20"/>
              </w:rPr>
              <w:t>采用</w:t>
            </w:r>
            <w:r>
              <w:rPr>
                <w:sz w:val="20"/>
              </w:rPr>
              <w:t>80mm*20mm</w:t>
            </w:r>
            <w:r>
              <w:rPr>
                <w:sz w:val="20"/>
              </w:rPr>
              <w:t>(±</w:t>
            </w:r>
            <w:r>
              <w:rPr>
                <w:sz w:val="20"/>
              </w:rPr>
              <w:t>5</w:t>
            </w:r>
            <w:r>
              <w:rPr>
                <w:sz w:val="20"/>
              </w:rPr>
              <w:t>mm)冷轧钢管</w:t>
            </w:r>
            <w:r>
              <w:rPr>
                <w:sz w:val="20"/>
              </w:rPr>
              <w:t>，</w:t>
            </w:r>
            <w:r>
              <w:rPr>
                <w:sz w:val="20"/>
              </w:rPr>
              <w:t>厚度</w:t>
            </w:r>
            <w:r>
              <w:rPr>
                <w:sz w:val="20"/>
              </w:rPr>
              <w:t>≥1.2mm，横梁面向人体接触面为光滑平面防碰撞设计，起到防撞作用，表面经优质环保氧聚酯塑粉静电喷塑处理。</w:t>
            </w:r>
          </w:p>
        </w:tc>
      </w:tr>
      <w:tr>
        <w:tc>
          <w:tcPr>
            <w:tcW w:type="dxa" w:w="397"/>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821"/>
            <w:vMerge/>
            <w:tcBorders>
              <w:top w:val="none" w:color="000000" w:sz="4"/>
              <w:left w:val="none" w:color="000000" w:sz="4"/>
              <w:bottom w:val="none" w:color="000000" w:sz="4"/>
              <w:right w:val="single" w:color="000000" w:sz="4"/>
            </w:tcBorders>
          </w:tcP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w:t>
            </w:r>
            <w:r>
              <w:rPr>
                <w:sz w:val="20"/>
              </w:rPr>
              <w:t>.</w:t>
            </w:r>
            <w:r>
              <w:rPr>
                <w:sz w:val="20"/>
              </w:rPr>
              <w:t>床</w:t>
            </w:r>
            <w:r>
              <w:rPr>
                <w:sz w:val="20"/>
              </w:rPr>
              <w:t>横梁连接件：</w:t>
            </w:r>
          </w:p>
          <w:p>
            <w:pPr>
              <w:pStyle w:val="null3"/>
              <w:jc w:val="left"/>
            </w:pPr>
            <w:r>
              <w:rPr>
                <w:sz w:val="20"/>
              </w:rPr>
              <w:t>隐藏式，床横梁与床立柱嵌式连接件采用隐藏式内部锁螺丝设计，且具备防脱功能，连接件采用厚</w:t>
            </w:r>
            <w:r>
              <w:rPr>
                <w:sz w:val="20"/>
              </w:rPr>
              <w:t>≥2.0mm优质钢板经冲压一次成型，尺寸75mm×15mm×90mm（±3mm），连接件与立柱高频焊接一体，与横梁接触面不少于3面，立柱和横梁连接后外侧无孔位及螺丝外露，防止刮伤事故发生。</w:t>
            </w:r>
          </w:p>
        </w:tc>
      </w:tr>
      <w:tr>
        <w:tc>
          <w:tcPr>
            <w:tcW w:type="dxa" w:w="397"/>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821"/>
            <w:vMerge/>
            <w:tcBorders>
              <w:top w:val="none" w:color="000000" w:sz="4"/>
              <w:left w:val="none" w:color="000000" w:sz="4"/>
              <w:bottom w:val="none" w:color="000000" w:sz="4"/>
              <w:right w:val="single" w:color="000000" w:sz="4"/>
            </w:tcBorders>
          </w:tcP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6.采用一体化设计的内嵌式铸铝件：340mm*30mm*230mm（±3mm），采用内置式5个螺丝与床梁相连，装配后横梁与前所栏40mm*30mm（±3mm）</w:t>
            </w:r>
            <w:r>
              <w:rPr>
                <w:sz w:val="20"/>
              </w:rPr>
              <w:t>与梁</w:t>
            </w:r>
            <w:r>
              <w:rPr>
                <w:sz w:val="20"/>
              </w:rPr>
              <w:t>紧密贴合。</w:t>
            </w:r>
          </w:p>
        </w:tc>
      </w:tr>
      <w:tr>
        <w:tc>
          <w:tcPr>
            <w:tcW w:type="dxa" w:w="397"/>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821"/>
            <w:vMerge/>
            <w:tcBorders>
              <w:top w:val="none" w:color="000000" w:sz="4"/>
              <w:left w:val="none" w:color="000000" w:sz="4"/>
              <w:bottom w:val="none" w:color="000000" w:sz="4"/>
              <w:right w:val="single" w:color="000000" w:sz="4"/>
            </w:tcBorders>
          </w:tcP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7</w:t>
            </w:r>
            <w:r>
              <w:rPr>
                <w:sz w:val="20"/>
              </w:rPr>
              <w:t>.床板支撑横</w:t>
            </w:r>
            <w:r>
              <w:rPr>
                <w:sz w:val="20"/>
              </w:rPr>
              <w:t>：</w:t>
            </w:r>
          </w:p>
          <w:p>
            <w:pPr>
              <w:pStyle w:val="null3"/>
              <w:jc w:val="left"/>
            </w:pPr>
            <w:r>
              <w:rPr>
                <w:sz w:val="20"/>
              </w:rPr>
              <w:t>采用</w:t>
            </w:r>
            <w:r>
              <w:rPr>
                <w:sz w:val="20"/>
              </w:rPr>
              <w:t>25mm*40mm</w:t>
            </w:r>
            <w:r>
              <w:rPr>
                <w:sz w:val="20"/>
              </w:rPr>
              <w:t>(±</w:t>
            </w:r>
            <w:r>
              <w:rPr>
                <w:sz w:val="20"/>
              </w:rPr>
              <w:t>3</w:t>
            </w:r>
            <w:r>
              <w:rPr>
                <w:sz w:val="20"/>
              </w:rPr>
              <w:t>mm)</w:t>
            </w:r>
            <w:r>
              <w:rPr>
                <w:sz w:val="20"/>
              </w:rPr>
              <w:t>异</w:t>
            </w:r>
            <w:r>
              <w:rPr>
                <w:sz w:val="20"/>
              </w:rPr>
              <w:t>型管，厚度</w:t>
            </w:r>
            <w:r>
              <w:rPr>
                <w:sz w:val="20"/>
              </w:rPr>
              <w:t>≥</w:t>
            </w:r>
            <w:r>
              <w:rPr>
                <w:sz w:val="20"/>
              </w:rPr>
              <w:t>0.8</w:t>
            </w:r>
            <w:r>
              <w:rPr>
                <w:sz w:val="20"/>
              </w:rPr>
              <w:t>mm，截面下方为圆弧形，</w:t>
            </w:r>
            <w:r>
              <w:rPr>
                <w:sz w:val="20"/>
              </w:rPr>
              <w:t>截面展开周长</w:t>
            </w:r>
            <w:r>
              <w:rPr>
                <w:sz w:val="20"/>
              </w:rPr>
              <w:t>110mm（±10mm），支撑有2条加强筋，表面经优质环保氧聚酯塑粉静电喷塑处理。</w:t>
            </w:r>
          </w:p>
        </w:tc>
      </w:tr>
      <w:tr>
        <w:tc>
          <w:tcPr>
            <w:tcW w:type="dxa" w:w="397"/>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821"/>
            <w:vMerge/>
            <w:tcBorders>
              <w:top w:val="none" w:color="000000" w:sz="4"/>
              <w:left w:val="none" w:color="000000" w:sz="4"/>
              <w:bottom w:val="none" w:color="000000" w:sz="4"/>
              <w:right w:val="single" w:color="000000" w:sz="4"/>
            </w:tcBorders>
          </w:tcP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8.床板支撑静音件：</w:t>
            </w:r>
          </w:p>
          <w:p>
            <w:pPr>
              <w:pStyle w:val="null3"/>
              <w:jc w:val="left"/>
            </w:pPr>
            <w:r>
              <w:rPr>
                <w:sz w:val="20"/>
              </w:rPr>
              <w:t>采用采用</w:t>
            </w:r>
            <w:r>
              <w:rPr>
                <w:sz w:val="20"/>
              </w:rPr>
              <w:t>PP材质的内扣式静音胶件，尺寸40mm*40mm（±2mm），厚度≥1.5mm。装配后与床板支撑应紧密贴合，确保床架无异响。</w:t>
            </w:r>
          </w:p>
        </w:tc>
      </w:tr>
      <w:tr>
        <w:tc>
          <w:tcPr>
            <w:tcW w:type="dxa" w:w="397"/>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821"/>
            <w:vMerge/>
            <w:tcBorders>
              <w:top w:val="none" w:color="000000" w:sz="4"/>
              <w:left w:val="none" w:color="000000" w:sz="4"/>
              <w:bottom w:val="none" w:color="000000" w:sz="4"/>
              <w:right w:val="single" w:color="000000" w:sz="4"/>
            </w:tcBorders>
          </w:tcP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9.</w:t>
            </w:r>
            <w:r>
              <w:rPr>
                <w:sz w:val="20"/>
              </w:rPr>
              <w:t>床头护栏</w:t>
            </w:r>
            <w:r>
              <w:rPr>
                <w:sz w:val="20"/>
              </w:rPr>
              <w:t>：</w:t>
            </w:r>
          </w:p>
          <w:p>
            <w:pPr>
              <w:pStyle w:val="null3"/>
              <w:jc w:val="left"/>
            </w:pPr>
            <w:r>
              <w:rPr>
                <w:sz w:val="20"/>
              </w:rPr>
              <w:t>采用</w:t>
            </w:r>
            <w:r>
              <w:rPr>
                <w:sz w:val="20"/>
              </w:rPr>
              <w:t>40mm*30mm（±3mm）钢管材，厚度≥1.0mm，截面展开周长110mm（±10mm），成型后立柱截面呈闭口管。</w:t>
            </w:r>
            <w:r>
              <w:rPr>
                <w:sz w:val="20"/>
              </w:rPr>
              <w:t>护栏</w:t>
            </w:r>
            <w:r>
              <w:rPr>
                <w:sz w:val="20"/>
              </w:rPr>
              <w:t>整体</w:t>
            </w:r>
            <w:r>
              <w:rPr>
                <w:sz w:val="20"/>
              </w:rPr>
              <w:t>高度</w:t>
            </w:r>
            <w:r>
              <w:rPr>
                <w:sz w:val="20"/>
              </w:rPr>
              <w:t>≥</w:t>
            </w:r>
            <w:r>
              <w:rPr>
                <w:sz w:val="20"/>
              </w:rPr>
              <w:t>3</w:t>
            </w:r>
            <w:r>
              <w:rPr>
                <w:sz w:val="20"/>
              </w:rPr>
              <w:t>0</w:t>
            </w:r>
            <w:r>
              <w:rPr>
                <w:sz w:val="20"/>
              </w:rPr>
              <w:t>0mm</w:t>
            </w:r>
            <w:r>
              <w:rPr>
                <w:sz w:val="20"/>
              </w:rPr>
              <w:t>，</w:t>
            </w:r>
            <w:r>
              <w:rPr>
                <w:sz w:val="20"/>
              </w:rPr>
              <w:t>采用多层实木板封板，板厚</w:t>
            </w:r>
            <w:r>
              <w:rPr>
                <w:sz w:val="20"/>
              </w:rPr>
              <w:t>≥18mm</w:t>
            </w:r>
            <w:r>
              <w:rPr>
                <w:sz w:val="20"/>
              </w:rPr>
              <w:t>。</w:t>
            </w:r>
          </w:p>
        </w:tc>
      </w:tr>
      <w:tr>
        <w:tc>
          <w:tcPr>
            <w:tcW w:type="dxa" w:w="397"/>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821"/>
            <w:vMerge/>
            <w:tcBorders>
              <w:top w:val="none" w:color="000000" w:sz="4"/>
              <w:left w:val="none" w:color="000000" w:sz="4"/>
              <w:bottom w:val="none" w:color="000000" w:sz="4"/>
              <w:right w:val="single" w:color="000000" w:sz="4"/>
            </w:tcBorders>
          </w:tcP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10.床前护栏：</w:t>
            </w:r>
          </w:p>
          <w:p>
            <w:pPr>
              <w:pStyle w:val="null3"/>
              <w:jc w:val="left"/>
            </w:pPr>
            <w:r>
              <w:rPr>
                <w:sz w:val="20"/>
              </w:rPr>
              <w:t>采用</w:t>
            </w:r>
            <w:r>
              <w:rPr>
                <w:sz w:val="20"/>
              </w:rPr>
              <w:t>40mm*30mm（±3mm）钢管材，厚度≥1.0mm，截面展开周长110mm（±10mm），成型后立柱截面呈闭口管。</w:t>
            </w:r>
            <w:r>
              <w:rPr>
                <w:sz w:val="20"/>
              </w:rPr>
              <w:t>护栏配置隐私挡板，挡板采用</w:t>
            </w:r>
            <w:r>
              <w:rPr>
                <w:sz w:val="20"/>
              </w:rPr>
              <w:t>≥</w:t>
            </w:r>
            <w:r>
              <w:rPr>
                <w:sz w:val="20"/>
              </w:rPr>
              <w:t>0.8</w:t>
            </w:r>
            <w:r>
              <w:rPr>
                <w:sz w:val="20"/>
              </w:rPr>
              <w:t>mm厚冷轧钢</w:t>
            </w:r>
            <w:r>
              <w:rPr>
                <w:sz w:val="20"/>
              </w:rPr>
              <w:t>板</w:t>
            </w:r>
            <w:r>
              <w:rPr>
                <w:sz w:val="20"/>
              </w:rPr>
              <w:t>，</w:t>
            </w:r>
            <w:r>
              <w:rPr>
                <w:sz w:val="20"/>
              </w:rPr>
              <w:t>均匀布置透气网孔，网孔直径为</w:t>
            </w:r>
            <w:r>
              <w:rPr>
                <w:sz w:val="20"/>
              </w:rPr>
              <w:t>Ø6</w:t>
            </w:r>
            <w:r>
              <w:rPr>
                <w:sz w:val="20"/>
              </w:rPr>
              <w:t>mm</w:t>
            </w:r>
            <w:r>
              <w:rPr>
                <w:sz w:val="20"/>
              </w:rPr>
              <w:t>，</w:t>
            </w:r>
            <w:r>
              <w:rPr>
                <w:sz w:val="20"/>
              </w:rPr>
              <w:t>间距为一排</w:t>
            </w:r>
            <w:r>
              <w:rPr>
                <w:sz w:val="20"/>
              </w:rPr>
              <w:t>32</w:t>
            </w:r>
            <w:r>
              <w:rPr>
                <w:sz w:val="20"/>
              </w:rPr>
              <w:t>mm</w:t>
            </w:r>
            <w:r>
              <w:rPr>
                <w:sz w:val="20"/>
              </w:rPr>
              <w:t>，</w:t>
            </w:r>
            <w:r>
              <w:rPr>
                <w:sz w:val="20"/>
              </w:rPr>
              <w:t>一排</w:t>
            </w:r>
            <w:r>
              <w:rPr>
                <w:sz w:val="20"/>
              </w:rPr>
              <w:t>25</w:t>
            </w:r>
            <w:r>
              <w:rPr>
                <w:sz w:val="20"/>
              </w:rPr>
              <w:t>mm</w:t>
            </w:r>
            <w:r>
              <w:rPr>
                <w:sz w:val="20"/>
              </w:rPr>
              <w:t>，</w:t>
            </w:r>
            <w:r>
              <w:rPr>
                <w:sz w:val="20"/>
              </w:rPr>
              <w:t>同时满足与市场上常规</w:t>
            </w:r>
            <w:r>
              <w:rPr>
                <w:sz w:val="20"/>
              </w:rPr>
              <w:t>2种挂孔配件规格</w:t>
            </w:r>
            <w:r>
              <w:rPr>
                <w:sz w:val="20"/>
              </w:rPr>
              <w:t>。挡板</w:t>
            </w:r>
            <w:r>
              <w:rPr>
                <w:sz w:val="20"/>
              </w:rPr>
              <w:t>尺寸：</w:t>
            </w:r>
            <w:r>
              <w:rPr>
                <w:sz w:val="20"/>
              </w:rPr>
              <w:t>1900</w:t>
            </w:r>
            <w:r>
              <w:rPr>
                <w:sz w:val="20"/>
              </w:rPr>
              <w:t>mm</w:t>
            </w:r>
            <w:r>
              <w:rPr>
                <w:sz w:val="20"/>
              </w:rPr>
              <w:t>*320</w:t>
            </w:r>
            <w:r>
              <w:rPr>
                <w:sz w:val="20"/>
              </w:rPr>
              <w:t>mm</w:t>
            </w:r>
            <w:r>
              <w:rPr>
                <w:sz w:val="20"/>
              </w:rPr>
              <w:t>（</w:t>
            </w:r>
            <w:r>
              <w:rPr>
                <w:sz w:val="20"/>
              </w:rPr>
              <w:t>±10mm</w:t>
            </w:r>
            <w:r>
              <w:rPr>
                <w:sz w:val="20"/>
              </w:rPr>
              <w:t>），</w:t>
            </w:r>
            <w:r>
              <w:rPr>
                <w:sz w:val="20"/>
              </w:rPr>
              <w:t>护栏</w:t>
            </w:r>
            <w:r>
              <w:rPr>
                <w:sz w:val="20"/>
              </w:rPr>
              <w:t>整体</w:t>
            </w:r>
            <w:r>
              <w:rPr>
                <w:sz w:val="20"/>
              </w:rPr>
              <w:t>高度</w:t>
            </w:r>
            <w:r>
              <w:rPr>
                <w:sz w:val="20"/>
              </w:rPr>
              <w:t>≥</w:t>
            </w:r>
            <w:r>
              <w:rPr>
                <w:sz w:val="20"/>
              </w:rPr>
              <w:t>35</w:t>
            </w:r>
            <w:r>
              <w:rPr>
                <w:sz w:val="20"/>
              </w:rPr>
              <w:t>0mm</w:t>
            </w:r>
            <w:r>
              <w:rPr>
                <w:sz w:val="20"/>
              </w:rPr>
              <w:t>，</w:t>
            </w:r>
            <w:r>
              <w:rPr>
                <w:sz w:val="20"/>
              </w:rPr>
              <w:t>须有床垫（床褥）限高标识线</w:t>
            </w:r>
            <w:r>
              <w:rPr>
                <w:sz w:val="20"/>
              </w:rPr>
              <w:t>。</w:t>
            </w:r>
          </w:p>
        </w:tc>
      </w:tr>
      <w:tr>
        <w:tc>
          <w:tcPr>
            <w:tcW w:type="dxa" w:w="397"/>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821"/>
            <w:vMerge/>
            <w:tcBorders>
              <w:top w:val="none" w:color="000000" w:sz="4"/>
              <w:left w:val="none" w:color="000000" w:sz="4"/>
              <w:bottom w:val="none" w:color="000000" w:sz="4"/>
              <w:right w:val="single" w:color="000000" w:sz="4"/>
            </w:tcBorders>
          </w:tcP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11.</w:t>
            </w:r>
            <w:r>
              <w:rPr>
                <w:sz w:val="20"/>
              </w:rPr>
              <w:t>楼梯柜：</w:t>
            </w:r>
          </w:p>
          <w:p>
            <w:pPr>
              <w:pStyle w:val="null3"/>
              <w:jc w:val="left"/>
            </w:pPr>
            <w:r>
              <w:rPr>
                <w:sz w:val="20"/>
              </w:rPr>
              <w:t>11.1</w:t>
            </w:r>
            <w:r>
              <w:rPr>
                <w:sz w:val="20"/>
              </w:rPr>
              <w:t>支架采用</w:t>
            </w:r>
            <w:r>
              <w:rPr>
                <w:sz w:val="20"/>
              </w:rPr>
              <w:t>≥25</w:t>
            </w:r>
            <w:r>
              <w:rPr>
                <w:sz w:val="20"/>
              </w:rPr>
              <w:t>mm</w:t>
            </w:r>
            <w:r>
              <w:rPr>
                <w:sz w:val="20"/>
              </w:rPr>
              <w:t>*25</w:t>
            </w:r>
            <w:r>
              <w:rPr>
                <w:sz w:val="20"/>
              </w:rPr>
              <w:t>mm</w:t>
            </w:r>
            <w:r>
              <w:rPr>
                <w:sz w:val="20"/>
              </w:rPr>
              <w:t>*1.0mm（国标）方管制作</w:t>
            </w:r>
            <w:r>
              <w:rPr>
                <w:sz w:val="20"/>
              </w:rPr>
              <w:t>.</w:t>
            </w:r>
          </w:p>
          <w:p>
            <w:pPr>
              <w:pStyle w:val="null3"/>
              <w:jc w:val="left"/>
            </w:pPr>
            <w:r>
              <w:rPr>
                <w:sz w:val="20"/>
              </w:rPr>
              <w:t>11.2</w:t>
            </w:r>
            <w:r>
              <w:rPr>
                <w:sz w:val="20"/>
              </w:rPr>
              <w:t>脚踏板采用</w:t>
            </w:r>
            <w:r>
              <w:rPr>
                <w:sz w:val="20"/>
              </w:rPr>
              <w:t>≥1.2mm厚优质冷轧钢板经冲压而成，</w:t>
            </w:r>
            <w:r>
              <w:rPr>
                <w:sz w:val="20"/>
              </w:rPr>
              <w:t>尺寸为</w:t>
            </w:r>
            <w:r>
              <w:rPr>
                <w:sz w:val="20"/>
              </w:rPr>
              <w:t>400mm*190mm</w:t>
            </w:r>
            <w:r>
              <w:rPr>
                <w:sz w:val="20"/>
              </w:rPr>
              <w:t>（</w:t>
            </w:r>
            <w:r>
              <w:rPr>
                <w:sz w:val="20"/>
              </w:rPr>
              <w:t>±10mm</w:t>
            </w:r>
            <w:r>
              <w:rPr>
                <w:sz w:val="20"/>
              </w:rPr>
              <w:t>）</w:t>
            </w:r>
            <w:r>
              <w:rPr>
                <w:sz w:val="20"/>
              </w:rPr>
              <w:t>,</w:t>
            </w:r>
            <w:r>
              <w:rPr>
                <w:sz w:val="20"/>
              </w:rPr>
              <w:t>脚踏板表面需加硅胶防滑带</w:t>
            </w:r>
            <w:r>
              <w:rPr>
                <w:sz w:val="20"/>
              </w:rPr>
              <w:t>2条，尺寸为300mm*80mm</w:t>
            </w:r>
            <w:r>
              <w:rPr>
                <w:sz w:val="20"/>
              </w:rPr>
              <w:t>（</w:t>
            </w:r>
            <w:r>
              <w:rPr>
                <w:sz w:val="20"/>
              </w:rPr>
              <w:t>±5mm</w:t>
            </w:r>
            <w:r>
              <w:rPr>
                <w:sz w:val="20"/>
              </w:rPr>
              <w:t>）</w:t>
            </w:r>
            <w:r>
              <w:rPr>
                <w:sz w:val="20"/>
              </w:rPr>
              <w:t>，可以起到防滑</w:t>
            </w:r>
            <w:r>
              <w:rPr>
                <w:sz w:val="20"/>
              </w:rPr>
              <w:t>和静音</w:t>
            </w:r>
            <w:r>
              <w:rPr>
                <w:sz w:val="20"/>
              </w:rPr>
              <w:t>作用</w:t>
            </w:r>
            <w:r>
              <w:rPr>
                <w:sz w:val="20"/>
              </w:rPr>
              <w:t>。</w:t>
            </w:r>
            <w:r>
              <w:rPr>
                <w:sz w:val="20"/>
              </w:rPr>
              <w:t>踏板底部加焊一根</w:t>
            </w:r>
            <w:r>
              <w:rPr>
                <w:sz w:val="20"/>
              </w:rPr>
              <w:t>≥20</w:t>
            </w:r>
            <w:r>
              <w:rPr>
                <w:sz w:val="20"/>
              </w:rPr>
              <w:t>mm</w:t>
            </w:r>
            <w:r>
              <w:rPr>
                <w:sz w:val="20"/>
              </w:rPr>
              <w:t>*30</w:t>
            </w:r>
            <w:r>
              <w:rPr>
                <w:sz w:val="20"/>
              </w:rPr>
              <w:t>mm</w:t>
            </w:r>
            <w:r>
              <w:rPr>
                <w:sz w:val="20"/>
              </w:rPr>
              <w:t>*0.8mm方管</w:t>
            </w:r>
            <w:r>
              <w:rPr>
                <w:sz w:val="20"/>
              </w:rPr>
              <w:t>.</w:t>
            </w:r>
          </w:p>
          <w:p>
            <w:pPr>
              <w:pStyle w:val="null3"/>
              <w:jc w:val="left"/>
            </w:pPr>
            <w:r>
              <w:rPr>
                <w:sz w:val="20"/>
              </w:rPr>
              <w:t>11.3</w:t>
            </w:r>
            <w:r>
              <w:rPr>
                <w:sz w:val="20"/>
              </w:rPr>
              <w:t>柜体主体采用</w:t>
            </w:r>
            <w:r>
              <w:rPr>
                <w:sz w:val="20"/>
              </w:rPr>
              <w:t>≥0.8mm厚度冷轧钢板经数控设备冲孔，折弯和焊接而成，所有钢材焊接口打磨，磷化脱膜处理，表面静电热固性喷涂粉末等工序。所有柜门配暗拉手,柜底脚需配有防潮脚垫。</w:t>
            </w:r>
          </w:p>
        </w:tc>
      </w:tr>
      <w:tr>
        <w:tc>
          <w:tcPr>
            <w:tcW w:type="dxa" w:w="397"/>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821"/>
            <w:vMerge/>
            <w:tcBorders>
              <w:top w:val="none" w:color="000000" w:sz="4"/>
              <w:left w:val="none" w:color="000000" w:sz="4"/>
              <w:bottom w:val="none" w:color="000000" w:sz="4"/>
              <w:right w:val="single" w:color="000000" w:sz="4"/>
            </w:tcBorders>
          </w:tcP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12.挂梯：</w:t>
            </w:r>
          </w:p>
          <w:p>
            <w:pPr>
              <w:pStyle w:val="null3"/>
              <w:jc w:val="left"/>
            </w:pPr>
            <w:r>
              <w:rPr>
                <w:sz w:val="20"/>
              </w:rPr>
              <w:t>支架采用</w:t>
            </w:r>
            <w:r>
              <w:rPr>
                <w:sz w:val="20"/>
              </w:rPr>
              <w:t>25mm*50mm（±3mm），厚度≥1.2mm椭圆钢管焊接而成，床梯支架底部与床立柱采用钢管连接固定。脚踏板采用优质冷轧钢板经冲床一次冲压而成，成型后尺寸为400mm*100mm(±10mm）与支架焊接成一体，踏板下面加焊一根20mm*30mm（±3mm），厚度≥0.8mm的方管，脚踏板表面需加注塑一次成型塑料踏板，形状与楼梯脚踏板完全贴合，并带有不小于10个卡口，防止掉落，成型后尺寸：W405mm*D105mm*H25mm(±3mm）。楼梯支架上端及底部采用环保工程塑料胶套（塞），上端胶套尺寸为60mm*30mm*15mm避免支架与横梁直接触碰，防止碰撞刮花，中间孔位尺寸为20mm*10mm(±3mm）方便楼梯支架螺丝穿出与横梁固定，其凹面与立柱凸面相吻合。底部胶套尺寸55mm*30mm*30mm/35mm(±3mm）采用斜边设计与楼梯支架底端角度一致，起到静音、防潮的作用。</w:t>
            </w:r>
          </w:p>
        </w:tc>
      </w:tr>
      <w:tr>
        <w:tc>
          <w:tcPr>
            <w:tcW w:type="dxa" w:w="397"/>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821"/>
            <w:vMerge/>
            <w:tcBorders>
              <w:top w:val="none" w:color="000000" w:sz="4"/>
              <w:left w:val="none" w:color="000000" w:sz="4"/>
              <w:bottom w:val="none" w:color="000000" w:sz="4"/>
              <w:right w:val="single" w:color="000000" w:sz="4"/>
            </w:tcBorders>
          </w:tcP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13.蚊帐杆：</w:t>
            </w:r>
          </w:p>
          <w:p>
            <w:pPr>
              <w:pStyle w:val="null3"/>
              <w:jc w:val="left"/>
            </w:pPr>
            <w:r>
              <w:rPr>
                <w:sz w:val="20"/>
              </w:rPr>
              <w:t>13.1采用φ19mm*1.0mm冷轧钢管弯制而成。</w:t>
            </w:r>
          </w:p>
          <w:p>
            <w:pPr>
              <w:pStyle w:val="null3"/>
              <w:jc w:val="left"/>
            </w:pPr>
            <w:r>
              <w:rPr>
                <w:sz w:val="20"/>
              </w:rPr>
              <w:t>13.2立柱顶部配套PP材质内嵌式蚊帐杆胶塞，装配后与立柱应紧密贴合，安全、稳固、不易脱落。胶塞内嵌部分深度≥65mm，胶塞顶部可插入φ19mm圆管的蚊帐杆，蚊帐杆插入胶塞深度≥70mm。</w:t>
            </w:r>
          </w:p>
          <w:p>
            <w:pPr>
              <w:pStyle w:val="null3"/>
              <w:jc w:val="left"/>
            </w:pPr>
            <w:r>
              <w:rPr>
                <w:sz w:val="20"/>
              </w:rPr>
              <w:t>13.3蚊帐杆支撑连接件采用耐磨ABS工程塑料一体成型内嵌式三通连接件，壁厚≥2.0mm，Φ19的蚊帐杆管材与三通连接件采用内嵌式无缝连接固定，内嵌部分深度≥30mm，整体无焊接、无螺丝连接。</w:t>
            </w:r>
          </w:p>
        </w:tc>
      </w:tr>
      <w:tr>
        <w:tc>
          <w:tcPr>
            <w:tcW w:type="dxa" w:w="39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1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书桌柜（含衣柜）</w:t>
            </w:r>
          </w:p>
        </w:tc>
        <w:tc>
          <w:tcPr>
            <w:tcW w:type="dxa" w:w="282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外形、结构（见家具设计图），整体尺寸如下：</w:t>
            </w:r>
          </w:p>
          <w:p>
            <w:pPr>
              <w:pStyle w:val="null3"/>
              <w:jc w:val="both"/>
            </w:pPr>
            <w:r>
              <w:rPr>
                <w:sz w:val="20"/>
              </w:rPr>
              <w:t>正坐位：</w:t>
            </w:r>
            <w:r>
              <w:rPr>
                <w:sz w:val="20"/>
              </w:rPr>
              <w:t>1870</w:t>
            </w:r>
            <w:r>
              <w:rPr>
                <w:sz w:val="20"/>
              </w:rPr>
              <w:t>mm</w:t>
            </w:r>
            <w:r>
              <w:rPr>
                <w:sz w:val="20"/>
              </w:rPr>
              <w:t>*</w:t>
            </w:r>
            <w:r>
              <w:rPr>
                <w:sz w:val="20"/>
              </w:rPr>
              <w:t>850/910mm</w:t>
            </w:r>
            <w:r>
              <w:rPr>
                <w:sz w:val="20"/>
              </w:rPr>
              <w:t>*</w:t>
            </w:r>
            <w:r>
              <w:rPr>
                <w:sz w:val="20"/>
              </w:rPr>
              <w:t>1700</w:t>
            </w:r>
            <w:r>
              <w:rPr>
                <w:sz w:val="20"/>
              </w:rPr>
              <w:t>mm</w:t>
            </w:r>
            <w:r>
              <w:rPr>
                <w:sz w:val="20"/>
              </w:rPr>
              <w:t>（</w:t>
            </w:r>
            <w:r>
              <w:rPr>
                <w:sz w:val="20"/>
              </w:rPr>
              <w:t>±10mm</w:t>
            </w:r>
            <w:r>
              <w:rPr>
                <w:sz w:val="20"/>
              </w:rPr>
              <w:t>）</w:t>
            </w:r>
          </w:p>
          <w:p>
            <w:pPr>
              <w:pStyle w:val="null3"/>
              <w:jc w:val="both"/>
            </w:pPr>
            <w:r>
              <w:rPr>
                <w:sz w:val="20"/>
              </w:rPr>
              <w:t>侧坐位：</w:t>
            </w:r>
            <w:r>
              <w:rPr>
                <w:sz w:val="20"/>
              </w:rPr>
              <w:t>1</w:t>
            </w:r>
            <w:r>
              <w:rPr>
                <w:sz w:val="20"/>
              </w:rPr>
              <w:t>870</w:t>
            </w:r>
            <w:r>
              <w:rPr>
                <w:sz w:val="20"/>
              </w:rPr>
              <w:t>mm</w:t>
            </w:r>
            <w:r>
              <w:rPr>
                <w:sz w:val="20"/>
              </w:rPr>
              <w:t>*</w:t>
            </w:r>
            <w:r>
              <w:rPr>
                <w:sz w:val="20"/>
              </w:rPr>
              <w:t>850mm</w:t>
            </w:r>
            <w:r>
              <w:rPr>
                <w:sz w:val="20"/>
              </w:rPr>
              <w:t>*</w:t>
            </w:r>
            <w:r>
              <w:rPr>
                <w:sz w:val="20"/>
              </w:rPr>
              <w:t>1700</w:t>
            </w:r>
            <w:r>
              <w:rPr>
                <w:sz w:val="20"/>
              </w:rPr>
              <w:t>mm</w:t>
            </w:r>
            <w:r>
              <w:rPr>
                <w:sz w:val="20"/>
              </w:rPr>
              <w:t>（</w:t>
            </w:r>
            <w:r>
              <w:rPr>
                <w:sz w:val="20"/>
              </w:rPr>
              <w:t>±10mm</w:t>
            </w:r>
            <w:r>
              <w:rPr>
                <w:sz w:val="20"/>
              </w:rPr>
              <w:t>）</w:t>
            </w: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1.桌面：</w:t>
            </w:r>
          </w:p>
          <w:p>
            <w:pPr>
              <w:pStyle w:val="null3"/>
              <w:jc w:val="left"/>
            </w:pPr>
            <w:r>
              <w:rPr>
                <w:sz w:val="20"/>
              </w:rPr>
              <w:t>1.1正坐位：L形1200</w:t>
            </w:r>
            <w:r>
              <w:rPr>
                <w:sz w:val="20"/>
              </w:rPr>
              <w:t>mm</w:t>
            </w:r>
            <w:r>
              <w:rPr>
                <w:sz w:val="20"/>
              </w:rPr>
              <w:t>/400mm*850/</w:t>
            </w:r>
            <w:r>
              <w:rPr>
                <w:sz w:val="20"/>
              </w:rPr>
              <w:t>mm</w:t>
            </w:r>
            <w:r>
              <w:rPr>
                <w:sz w:val="20"/>
              </w:rPr>
              <w:t>600mm*25mm（±10mm）</w:t>
            </w:r>
          </w:p>
          <w:p>
            <w:pPr>
              <w:pStyle w:val="null3"/>
              <w:jc w:val="left"/>
            </w:pPr>
            <w:r>
              <w:rPr>
                <w:sz w:val="20"/>
              </w:rPr>
              <w:t>1.2侧坐位：长方形850mm*600mm*25mm（±10mm）</w:t>
            </w:r>
          </w:p>
          <w:p>
            <w:pPr>
              <w:pStyle w:val="null3"/>
              <w:jc w:val="left"/>
            </w:pPr>
            <w:r>
              <w:rPr>
                <w:sz w:val="20"/>
              </w:rPr>
              <w:t>1.3材质：桌面板及侧脚均采用E0级多层实木板，双面贴三聚氰胺浸渍胶膜纸饰面,燃烧性能等级达到B1及或以上，厚度≥25mm,主台宽600mm（±10mm），副台宽400mm（±10mm），桌面离地高750mm（±10mm）,燃烧性能等级达到B1及或以上。</w:t>
            </w:r>
          </w:p>
          <w:p>
            <w:pPr>
              <w:pStyle w:val="null3"/>
              <w:jc w:val="left"/>
            </w:pPr>
            <w:r>
              <w:rPr>
                <w:sz w:val="20"/>
              </w:rPr>
              <w:t>1.4封边：采用同色PVC封边条封边，厚度≥2.0mm。</w:t>
            </w:r>
          </w:p>
          <w:p>
            <w:pPr>
              <w:pStyle w:val="null3"/>
              <w:jc w:val="left"/>
            </w:pPr>
            <w:r>
              <w:rPr>
                <w:sz w:val="20"/>
              </w:rPr>
              <w:t>▲1.5桌面加强管：采用18mm*40mm(±3mm)，厚度≥1.2mm冷轧钢管,正面内凹型弧度折弯，承重性强，安装后为鸭舌型，在安装后加装防尘胶盖。</w:t>
            </w:r>
          </w:p>
        </w:tc>
      </w:tr>
      <w:tr>
        <w:tc>
          <w:tcPr>
            <w:tcW w:type="dxa" w:w="397"/>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821"/>
            <w:vMerge/>
            <w:tcBorders>
              <w:top w:val="none" w:color="000000" w:sz="4"/>
              <w:left w:val="none" w:color="000000" w:sz="4"/>
              <w:bottom w:val="none" w:color="000000" w:sz="4"/>
              <w:right w:val="single" w:color="000000" w:sz="4"/>
            </w:tcBorders>
          </w:tcP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2.桌前/侧挡板：</w:t>
            </w:r>
          </w:p>
          <w:p>
            <w:pPr>
              <w:pStyle w:val="null3"/>
              <w:jc w:val="left"/>
            </w:pPr>
            <w:r>
              <w:rPr>
                <w:sz w:val="20"/>
              </w:rPr>
              <w:t>2.1正坐位：1200mm*350mm/900*350mm（±10mm）</w:t>
            </w:r>
          </w:p>
          <w:p>
            <w:pPr>
              <w:pStyle w:val="null3"/>
              <w:jc w:val="left"/>
            </w:pPr>
            <w:r>
              <w:rPr>
                <w:sz w:val="20"/>
              </w:rPr>
              <w:t>2.2侧坐位：1070mm*650mm（±10mm）</w:t>
            </w:r>
          </w:p>
          <w:p>
            <w:pPr>
              <w:pStyle w:val="null3"/>
              <w:jc w:val="left"/>
            </w:pPr>
            <w:r>
              <w:rPr>
                <w:sz w:val="20"/>
              </w:rPr>
              <w:t>2.3采用≥0.8mm厚冷轧钢板，均匀布置透气网孔，网孔直径为Ø6mm，间距为一排32mm，一排25mm，同时满足与市场上常规2种挂孔配件规格。</w:t>
            </w:r>
          </w:p>
        </w:tc>
      </w:tr>
      <w:tr>
        <w:tc>
          <w:tcPr>
            <w:tcW w:type="dxa" w:w="397"/>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821"/>
            <w:vMerge/>
            <w:tcBorders>
              <w:top w:val="none" w:color="000000" w:sz="4"/>
              <w:left w:val="none" w:color="000000" w:sz="4"/>
              <w:bottom w:val="none" w:color="000000" w:sz="4"/>
              <w:right w:val="single" w:color="000000" w:sz="4"/>
            </w:tcBorders>
          </w:tcP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3.吊柜：</w:t>
            </w:r>
          </w:p>
          <w:p>
            <w:pPr>
              <w:pStyle w:val="null3"/>
              <w:jc w:val="left"/>
            </w:pPr>
            <w:r>
              <w:rPr>
                <w:sz w:val="20"/>
              </w:rPr>
              <w:t>3.1正坐位：850mm*300mm*260mm（±10mm）</w:t>
            </w:r>
          </w:p>
          <w:p>
            <w:pPr>
              <w:pStyle w:val="null3"/>
              <w:jc w:val="left"/>
            </w:pPr>
            <w:r>
              <w:rPr>
                <w:sz w:val="20"/>
              </w:rPr>
              <w:t>3.2材质：采用国标一级冷轧钢板，表面静电喷涂粉末、高温固化。</w:t>
            </w:r>
          </w:p>
          <w:p>
            <w:pPr>
              <w:pStyle w:val="null3"/>
              <w:jc w:val="left"/>
            </w:pPr>
            <w:r>
              <w:rPr>
                <w:sz w:val="20"/>
              </w:rPr>
              <w:t>3.3厚度：冷轧钢板厚度≥0.8mm。</w:t>
            </w:r>
          </w:p>
          <w:p>
            <w:pPr>
              <w:pStyle w:val="null3"/>
              <w:jc w:val="left"/>
            </w:pPr>
            <w:r>
              <w:rPr>
                <w:sz w:val="20"/>
              </w:rPr>
              <w:t>3.4配置：为单门储物柜，门板安装磁吸。</w:t>
            </w:r>
          </w:p>
          <w:p>
            <w:pPr>
              <w:pStyle w:val="null3"/>
              <w:jc w:val="left"/>
            </w:pPr>
            <w:r>
              <w:rPr>
                <w:sz w:val="20"/>
              </w:rPr>
              <w:t>3.5工艺：工件经数控激光切割、模具冲压、数控折弯、焊接、机器打磨而成，再经表洗、彩磷、清洗、烘干、静电喷涂粉末、高温固化、安装而成。</w:t>
            </w:r>
          </w:p>
        </w:tc>
      </w:tr>
      <w:tr>
        <w:tc>
          <w:tcPr>
            <w:tcW w:type="dxa" w:w="397"/>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821"/>
            <w:vMerge/>
            <w:tcBorders>
              <w:top w:val="none" w:color="000000" w:sz="4"/>
              <w:left w:val="none" w:color="000000" w:sz="4"/>
              <w:bottom w:val="none" w:color="000000" w:sz="4"/>
              <w:right w:val="single" w:color="000000" w:sz="4"/>
            </w:tcBorders>
          </w:tcP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4书架：</w:t>
            </w:r>
          </w:p>
          <w:p>
            <w:pPr>
              <w:pStyle w:val="null3"/>
              <w:jc w:val="left"/>
            </w:pPr>
            <w:r>
              <w:rPr>
                <w:sz w:val="20"/>
              </w:rPr>
              <w:t>4.1正坐位：940mm*300mm*240mm（±10mm）</w:t>
            </w:r>
          </w:p>
          <w:p>
            <w:pPr>
              <w:pStyle w:val="null3"/>
              <w:jc w:val="left"/>
            </w:pPr>
            <w:r>
              <w:rPr>
                <w:sz w:val="20"/>
              </w:rPr>
              <w:t>4.2侧坐位：850mm*950mm*260mm（±10mm）</w:t>
            </w:r>
          </w:p>
          <w:p>
            <w:pPr>
              <w:pStyle w:val="null3"/>
              <w:jc w:val="left"/>
            </w:pPr>
            <w:r>
              <w:rPr>
                <w:sz w:val="20"/>
              </w:rPr>
              <w:t>4.3材质：采用国标一级冷轧钢板，表面静电喷涂粉末、高温固化。</w:t>
            </w:r>
          </w:p>
          <w:p>
            <w:pPr>
              <w:pStyle w:val="null3"/>
              <w:jc w:val="left"/>
            </w:pPr>
            <w:r>
              <w:rPr>
                <w:sz w:val="20"/>
              </w:rPr>
              <w:t>4.4厚度：冷轧钢板厚度≥0.8mm。</w:t>
            </w:r>
          </w:p>
          <w:p>
            <w:pPr>
              <w:pStyle w:val="null3"/>
              <w:jc w:val="left"/>
            </w:pPr>
            <w:r>
              <w:rPr>
                <w:sz w:val="20"/>
              </w:rPr>
              <w:t>4.5配置：开放结构，单层板层板折边厚25mm，内有龙骨加强筋。</w:t>
            </w:r>
          </w:p>
          <w:p>
            <w:pPr>
              <w:pStyle w:val="null3"/>
              <w:jc w:val="left"/>
            </w:pPr>
            <w:r>
              <w:rPr>
                <w:sz w:val="20"/>
              </w:rPr>
              <w:t>4.6工艺：工件经数控激光切割、模具冲压、数控折弯、焊接、机器打磨而成，再经表洗、彩磷、清洗、烘干、静电喷涂粉末、高温固化、安装而成。</w:t>
            </w:r>
          </w:p>
        </w:tc>
      </w:tr>
      <w:tr>
        <w:tc>
          <w:tcPr>
            <w:tcW w:type="dxa" w:w="397"/>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821"/>
            <w:vMerge/>
            <w:tcBorders>
              <w:top w:val="none" w:color="000000" w:sz="4"/>
              <w:left w:val="none" w:color="000000" w:sz="4"/>
              <w:bottom w:val="none" w:color="000000" w:sz="4"/>
              <w:right w:val="single" w:color="000000" w:sz="4"/>
            </w:tcBorders>
          </w:tcP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5.衣柜：</w:t>
            </w:r>
          </w:p>
          <w:p>
            <w:pPr>
              <w:pStyle w:val="null3"/>
              <w:jc w:val="left"/>
            </w:pPr>
            <w:r>
              <w:rPr>
                <w:sz w:val="20"/>
              </w:rPr>
              <w:t>5.1正坐位：W670mm*D850mm*H1750mm（±10mm）</w:t>
            </w:r>
          </w:p>
          <w:p>
            <w:pPr>
              <w:pStyle w:val="null3"/>
              <w:jc w:val="left"/>
            </w:pPr>
            <w:r>
              <w:rPr>
                <w:sz w:val="20"/>
              </w:rPr>
              <w:t>5.2侧坐位：W500mm*D850mm*H1750mm（±10mm）</w:t>
            </w:r>
          </w:p>
          <w:p>
            <w:pPr>
              <w:pStyle w:val="null3"/>
              <w:jc w:val="left"/>
            </w:pPr>
            <w:r>
              <w:rPr>
                <w:sz w:val="20"/>
              </w:rPr>
              <w:t>5.3材质：采用国标一级冷轧钢板，表面静电喷涂粉末、高温固化；</w:t>
            </w:r>
          </w:p>
          <w:p>
            <w:pPr>
              <w:pStyle w:val="null3"/>
              <w:jc w:val="left"/>
            </w:pPr>
            <w:r>
              <w:rPr>
                <w:sz w:val="20"/>
              </w:rPr>
              <w:t>5.4厚度：冷轧钢板厚度≥0.8mm。</w:t>
            </w:r>
          </w:p>
          <w:p>
            <w:pPr>
              <w:pStyle w:val="null3"/>
              <w:jc w:val="left"/>
            </w:pPr>
            <w:r>
              <w:rPr>
                <w:sz w:val="20"/>
              </w:rPr>
              <w:t>5.5配置：衣柜分上下两部分组成；一体门板配置内嵌式塑料拉手，内装旋转式挂锁</w:t>
            </w:r>
            <w:r>
              <w:rPr>
                <w:sz w:val="21"/>
              </w:rPr>
              <w:t>，正坐位为掩门，侧坐位为推拉门；</w:t>
            </w:r>
            <w:r>
              <w:rPr>
                <w:sz w:val="20"/>
              </w:rPr>
              <w:t>上层内部后部分为</w:t>
            </w:r>
            <w:r>
              <w:rPr>
                <w:sz w:val="20"/>
              </w:rPr>
              <w:t>2层活动层板，前部分配置一根直径φ19*≥1.0mm不锈钢管挂衣杆。下层后部分为行李储存区，前部分门内部配置1块层板。锁具外型为八角菱边型，锁头安装后与门板表面持平，拉手采用PP塑料经模具—次压制成型。柜体底部有加装防水防潮脚垫，脚垫采用可调节塑料。</w:t>
            </w:r>
          </w:p>
          <w:p>
            <w:pPr>
              <w:pStyle w:val="null3"/>
              <w:jc w:val="left"/>
            </w:pPr>
            <w:r>
              <w:rPr>
                <w:sz w:val="20"/>
              </w:rPr>
              <w:t>▲5.6脚垫：衣柜底部安装防潮支撑脚，支撑脚尺寸为80mm*60mm*60mm（±5mm）,底部带有pp塑料原料塑防滑防潮胶套，胶套内含M8×30mm（±3mm）可调节脚。</w:t>
            </w:r>
          </w:p>
          <w:p>
            <w:pPr>
              <w:pStyle w:val="null3"/>
              <w:jc w:val="left"/>
            </w:pPr>
            <w:r>
              <w:rPr>
                <w:sz w:val="20"/>
              </w:rPr>
              <w:t>5.7工艺：工件经数控激光切割、模具冲压、数控折弯、焊接、机器打磨而成，再经表洗、彩磷、清洗、烘干、静电喷涂粉末、高温固化、安装而成。</w:t>
            </w:r>
          </w:p>
        </w:tc>
      </w:tr>
      <w:tr>
        <w:tc>
          <w:tcPr>
            <w:tcW w:type="dxa" w:w="39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1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书桌（含书架、无障碍房用）</w:t>
            </w:r>
          </w:p>
        </w:tc>
        <w:tc>
          <w:tcPr>
            <w:tcW w:type="dxa" w:w="282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外形、结构（见家具设计图），整体尺寸如下：</w:t>
            </w:r>
            <w:r>
              <w:rPr>
                <w:sz w:val="20"/>
              </w:rPr>
              <w:t>W850</w:t>
            </w:r>
            <w:r>
              <w:rPr>
                <w:sz w:val="20"/>
              </w:rPr>
              <w:t>mm*</w:t>
            </w:r>
            <w:r>
              <w:rPr>
                <w:sz w:val="20"/>
              </w:rPr>
              <w:t>D600</w:t>
            </w:r>
            <w:r>
              <w:rPr>
                <w:sz w:val="20"/>
              </w:rPr>
              <w:t>mm*</w:t>
            </w:r>
            <w:r>
              <w:rPr>
                <w:sz w:val="20"/>
              </w:rPr>
              <w:t>H</w:t>
            </w:r>
            <w:r>
              <w:rPr>
                <w:sz w:val="20"/>
              </w:rPr>
              <w:t>1</w:t>
            </w:r>
            <w:r>
              <w:rPr>
                <w:sz w:val="20"/>
              </w:rPr>
              <w:t>30</w:t>
            </w:r>
            <w:r>
              <w:rPr>
                <w:sz w:val="20"/>
              </w:rPr>
              <w:t>0mm</w:t>
            </w:r>
            <w:r>
              <w:rPr>
                <w:sz w:val="20"/>
              </w:rPr>
              <w:t>（</w:t>
            </w:r>
            <w:r>
              <w:rPr>
                <w:sz w:val="20"/>
              </w:rPr>
              <w:t>±10mm</w:t>
            </w:r>
            <w:r>
              <w:rPr>
                <w:sz w:val="20"/>
              </w:rPr>
              <w:t>）</w:t>
            </w: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1.桌面：</w:t>
            </w:r>
          </w:p>
          <w:p>
            <w:pPr>
              <w:pStyle w:val="null3"/>
              <w:jc w:val="left"/>
            </w:pPr>
            <w:r>
              <w:rPr>
                <w:sz w:val="20"/>
              </w:rPr>
              <w:t>1.1尺寸：850mm*600mm（±10mm）</w:t>
            </w:r>
          </w:p>
          <w:p>
            <w:pPr>
              <w:pStyle w:val="null3"/>
              <w:jc w:val="left"/>
            </w:pPr>
            <w:r>
              <w:rPr>
                <w:sz w:val="20"/>
              </w:rPr>
              <w:t>1.2材质：桌面板及侧脚均采用E0级多层实木板，双面贴三聚氰胺浸渍胶膜纸饰面,燃烧性能等级达到B1及或以上，厚度≥25mm，桌面离地高750mm（±10mm）；燃烧性能等级达到B1及或以上。</w:t>
            </w:r>
          </w:p>
          <w:p>
            <w:pPr>
              <w:pStyle w:val="null3"/>
              <w:jc w:val="left"/>
            </w:pPr>
            <w:r>
              <w:rPr>
                <w:sz w:val="20"/>
              </w:rPr>
              <w:t>1.3封边：采用同色PVC封边条封边，厚度≥2.0mm。</w:t>
            </w:r>
          </w:p>
          <w:p>
            <w:pPr>
              <w:pStyle w:val="null3"/>
              <w:jc w:val="left"/>
            </w:pPr>
            <w:r>
              <w:rPr>
                <w:sz w:val="20"/>
              </w:rPr>
              <w:t>1.4桌面加强管：采用18mm*40mm(±3mm)，厚度≥1.2mm冷轧钢管,正面内凹型弧度折弯，承重性强，安装后为鸭舌型，并在安装后加装防尘胶盖。</w:t>
            </w:r>
          </w:p>
        </w:tc>
      </w:tr>
      <w:tr>
        <w:tc>
          <w:tcPr>
            <w:tcW w:type="dxa" w:w="397"/>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821"/>
            <w:vMerge/>
            <w:tcBorders>
              <w:top w:val="none" w:color="000000" w:sz="4"/>
              <w:left w:val="none" w:color="000000" w:sz="4"/>
              <w:bottom w:val="none" w:color="000000" w:sz="4"/>
              <w:right w:val="single" w:color="000000" w:sz="4"/>
            </w:tcBorders>
          </w:tcP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2.书架：</w:t>
            </w:r>
          </w:p>
          <w:p>
            <w:pPr>
              <w:pStyle w:val="null3"/>
              <w:jc w:val="left"/>
            </w:pPr>
            <w:r>
              <w:rPr>
                <w:sz w:val="20"/>
              </w:rPr>
              <w:t>2.1尺寸：850mm*550mm*320mm（±10mm）</w:t>
            </w:r>
          </w:p>
          <w:p>
            <w:pPr>
              <w:pStyle w:val="null3"/>
              <w:jc w:val="left"/>
            </w:pPr>
            <w:r>
              <w:rPr>
                <w:sz w:val="20"/>
              </w:rPr>
              <w:t>2.2材质：采用国标一级冷轧钢板，表面静电喷涂粉末、高温固化。</w:t>
            </w:r>
          </w:p>
          <w:p>
            <w:pPr>
              <w:pStyle w:val="null3"/>
              <w:jc w:val="left"/>
            </w:pPr>
            <w:r>
              <w:rPr>
                <w:sz w:val="20"/>
              </w:rPr>
              <w:t>2.3厚度：冷轧钢板厚度≥0.8mm。</w:t>
            </w:r>
          </w:p>
          <w:p>
            <w:pPr>
              <w:pStyle w:val="null3"/>
              <w:jc w:val="left"/>
            </w:pPr>
            <w:r>
              <w:rPr>
                <w:sz w:val="20"/>
              </w:rPr>
              <w:t>2.4配置：开放双层结构，每层高300mm（±10mm），单层板折边厚25mm，内有龙骨加强筋。</w:t>
            </w:r>
          </w:p>
          <w:p>
            <w:pPr>
              <w:pStyle w:val="null3"/>
              <w:jc w:val="left"/>
            </w:pPr>
            <w:r>
              <w:rPr>
                <w:sz w:val="20"/>
              </w:rPr>
              <w:t>2.5工艺：工件经数控激光切割、模具冲压、数控折弯、焊接、机器打磨而成，再经表洗、彩磷、清洗、烘干、静电喷涂粉末、高温固化、安装而成。</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更衣柜（无障碍房用）</w:t>
            </w:r>
          </w:p>
        </w:tc>
        <w:tc>
          <w:tcPr>
            <w:tcW w:type="dxa" w:w="2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外形、结构（见家具设计图），整体尺寸如下：</w:t>
            </w:r>
            <w:r>
              <w:rPr>
                <w:sz w:val="20"/>
              </w:rPr>
              <w:t>W600</w:t>
            </w:r>
            <w:r>
              <w:rPr>
                <w:sz w:val="20"/>
              </w:rPr>
              <w:t>mm*</w:t>
            </w:r>
            <w:r>
              <w:rPr>
                <w:sz w:val="20"/>
              </w:rPr>
              <w:t>D600</w:t>
            </w:r>
            <w:r>
              <w:rPr>
                <w:sz w:val="20"/>
              </w:rPr>
              <w:t>mm*</w:t>
            </w:r>
            <w:r>
              <w:rPr>
                <w:sz w:val="20"/>
              </w:rPr>
              <w:t>H</w:t>
            </w:r>
            <w:r>
              <w:rPr>
                <w:sz w:val="20"/>
              </w:rPr>
              <w:t>1</w:t>
            </w:r>
            <w:r>
              <w:rPr>
                <w:sz w:val="20"/>
              </w:rPr>
              <w:t>30</w:t>
            </w:r>
            <w:r>
              <w:rPr>
                <w:sz w:val="20"/>
              </w:rPr>
              <w:t>0mm</w:t>
            </w:r>
            <w:r>
              <w:rPr>
                <w:sz w:val="20"/>
              </w:rPr>
              <w:t>（</w:t>
            </w:r>
            <w:r>
              <w:rPr>
                <w:sz w:val="20"/>
              </w:rPr>
              <w:t>±10mm</w:t>
            </w:r>
            <w:r>
              <w:rPr>
                <w:sz w:val="20"/>
              </w:rPr>
              <w:t>）</w:t>
            </w: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1.材质：采用国标一级冷轧钢板，表面静电喷涂粉末、高温固化；</w:t>
            </w:r>
          </w:p>
          <w:p>
            <w:pPr>
              <w:pStyle w:val="null3"/>
              <w:jc w:val="left"/>
            </w:pPr>
            <w:r>
              <w:rPr>
                <w:sz w:val="20"/>
              </w:rPr>
              <w:t>2.厚度：冷轧钢板厚度≥0.8mm。</w:t>
            </w:r>
          </w:p>
          <w:p>
            <w:pPr>
              <w:pStyle w:val="null3"/>
              <w:jc w:val="left"/>
            </w:pPr>
            <w:r>
              <w:rPr>
                <w:sz w:val="20"/>
              </w:rPr>
              <w:t>3.配置：衣柜分上下两部分组成；一体门板配置内嵌式塑料拉手，内装旋转式挂锁，上层内部后部分为2层活动层板，前部分配置一根直径φ19*≥1.0mm不锈钢管挂衣杆。下层后部分为行李储存区，前部分门内部配置1块层板。锁具外型为八角菱边型，锁头安装后与门板表面持平，拉手采用PP塑料经模具—次压制成型。柜体底部有加装防水防潮脚垫，脚垫采用可调节塑料。</w:t>
            </w:r>
          </w:p>
          <w:p>
            <w:pPr>
              <w:pStyle w:val="null3"/>
              <w:jc w:val="left"/>
            </w:pPr>
            <w:r>
              <w:rPr>
                <w:sz w:val="20"/>
              </w:rPr>
              <w:t>4.脚垫：衣柜底部安装防潮支撑脚，支撑脚尺寸为80mm*60mm*60mm（±5mm）,底部带有pp塑料原料塑防滑防潮胶套，胶套内含M8×30mm（±2mm）可调节脚。</w:t>
            </w:r>
          </w:p>
          <w:p>
            <w:pPr>
              <w:pStyle w:val="null3"/>
              <w:jc w:val="left"/>
            </w:pPr>
            <w:r>
              <w:rPr>
                <w:sz w:val="20"/>
              </w:rPr>
              <w:t>5.工艺：工件经数控激光切割、模具冲压、数控折弯、焊接、机器打磨而成，再经表洗、彩磷、清洗、烘干、静电喷涂粉末、高温固化、安装而成。</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床板</w:t>
            </w:r>
          </w:p>
        </w:tc>
        <w:tc>
          <w:tcPr>
            <w:tcW w:type="dxa" w:w="2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1864mm</w:t>
            </w:r>
            <w:r>
              <w:rPr>
                <w:sz w:val="20"/>
              </w:rPr>
              <w:t>*</w:t>
            </w:r>
            <w:r>
              <w:rPr>
                <w:sz w:val="20"/>
              </w:rPr>
              <w:t>845</w:t>
            </w:r>
            <w:r>
              <w:rPr>
                <w:sz w:val="20"/>
              </w:rPr>
              <w:t>mm</w:t>
            </w:r>
            <w:r>
              <w:rPr>
                <w:sz w:val="20"/>
              </w:rPr>
              <w:t>（</w:t>
            </w:r>
            <w:r>
              <w:rPr>
                <w:sz w:val="20"/>
              </w:rPr>
              <w:t>±10mm</w:t>
            </w:r>
            <w:r>
              <w:rPr>
                <w:sz w:val="20"/>
              </w:rPr>
              <w:t>）</w:t>
            </w: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1.采用≥18mm原木杉木板，整体不超过7块拼接，嵌入床框内与床架四周吻合。床板经杀虫、烘干、防腐、防霉、创光处理，边沿垂直、表面平整。不留有树皮、腐斑、蛙孔和裂缝。</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学生椅</w:t>
            </w:r>
          </w:p>
        </w:tc>
        <w:tc>
          <w:tcPr>
            <w:tcW w:type="dxa" w:w="2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外形、结构，整体尺寸如下：</w:t>
            </w:r>
            <w:r>
              <w:rPr>
                <w:sz w:val="20"/>
              </w:rPr>
              <w:t>42</w:t>
            </w:r>
            <w:r>
              <w:rPr>
                <w:sz w:val="20"/>
              </w:rPr>
              <w:t>5</w:t>
            </w:r>
            <w:r>
              <w:rPr>
                <w:sz w:val="20"/>
              </w:rPr>
              <w:t>mm*</w:t>
            </w:r>
            <w:r>
              <w:rPr>
                <w:sz w:val="20"/>
              </w:rPr>
              <w:t>470</w:t>
            </w:r>
            <w:r>
              <w:rPr>
                <w:sz w:val="20"/>
              </w:rPr>
              <w:t>mm*</w:t>
            </w:r>
            <w:r>
              <w:rPr>
                <w:sz w:val="20"/>
              </w:rPr>
              <w:t>760</w:t>
            </w:r>
            <w:r>
              <w:rPr>
                <w:sz w:val="20"/>
              </w:rPr>
              <w:t>mm</w:t>
            </w:r>
            <w:r>
              <w:rPr>
                <w:sz w:val="20"/>
              </w:rPr>
              <w:t>（</w:t>
            </w:r>
            <w:r>
              <w:rPr>
                <w:sz w:val="20"/>
              </w:rPr>
              <w:t>±10mm</w:t>
            </w:r>
            <w:r>
              <w:rPr>
                <w:sz w:val="20"/>
              </w:rPr>
              <w:t>）</w:t>
            </w: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▲1.椅架：采用</w:t>
            </w:r>
            <w:r>
              <w:rPr>
                <w:sz w:val="20"/>
              </w:rPr>
              <w:t>≥</w:t>
            </w:r>
            <w:r>
              <w:rPr>
                <w:sz w:val="20"/>
              </w:rPr>
              <w:t>50</w:t>
            </w:r>
            <w:r>
              <w:rPr>
                <w:sz w:val="20"/>
              </w:rPr>
              <w:t>mm</w:t>
            </w:r>
            <w:r>
              <w:rPr>
                <w:sz w:val="20"/>
              </w:rPr>
              <w:t>*25mm椭圆形冷轧钢管，壁厚≥1.2mm；内芯管采用</w:t>
            </w:r>
            <w:r>
              <w:rPr>
                <w:sz w:val="20"/>
              </w:rPr>
              <w:t>≥</w:t>
            </w:r>
            <w:r>
              <w:rPr>
                <w:sz w:val="20"/>
              </w:rPr>
              <w:t>40</w:t>
            </w:r>
            <w:r>
              <w:rPr>
                <w:sz w:val="20"/>
              </w:rPr>
              <w:t>mm</w:t>
            </w:r>
            <w:r>
              <w:rPr>
                <w:sz w:val="20"/>
              </w:rPr>
              <w:t>*20mm椭圆形冷轧钢管，壁厚≥1.2mm，</w:t>
            </w:r>
            <w:r>
              <w:rPr>
                <w:sz w:val="20"/>
              </w:rPr>
              <w:t>可调节高度，</w:t>
            </w:r>
            <w:r>
              <w:rPr>
                <w:sz w:val="20"/>
              </w:rPr>
              <w:t>外侧方配有雕刻成型的</w:t>
            </w:r>
            <w:r>
              <w:rPr>
                <w:sz w:val="20"/>
              </w:rPr>
              <w:t>高度</w:t>
            </w:r>
            <w:r>
              <w:rPr>
                <w:sz w:val="20"/>
              </w:rPr>
              <w:t>刻度。</w:t>
            </w:r>
          </w:p>
          <w:p>
            <w:pPr>
              <w:pStyle w:val="null3"/>
              <w:jc w:val="left"/>
            </w:pPr>
            <w:r>
              <w:rPr>
                <w:sz w:val="20"/>
              </w:rPr>
              <w:t>2.靠背钢架：采用</w:t>
            </w:r>
            <w:r>
              <w:rPr>
                <w:sz w:val="20"/>
              </w:rPr>
              <w:t>≥</w:t>
            </w:r>
            <w:r>
              <w:rPr>
                <w:sz w:val="20"/>
              </w:rPr>
              <w:t>40*20mm椭圆形冷轧钢管，壁厚≥1.2mm；做弯曲处理，抽芯弯曲；座垫板。</w:t>
            </w:r>
          </w:p>
          <w:p>
            <w:pPr>
              <w:pStyle w:val="null3"/>
              <w:jc w:val="left"/>
            </w:pPr>
            <w:r>
              <w:rPr>
                <w:sz w:val="20"/>
              </w:rPr>
              <w:t>3.座、背板：采用全新环保PP工程塑料模具注塑成型，安装须包裹连接杆，不用胶套遮盖；坐背板为全透气新型舒适设计，前端波浪线设计，前端往底部倾斜设计，中间部位内凹设计。</w:t>
            </w:r>
          </w:p>
          <w:p>
            <w:pPr>
              <w:pStyle w:val="null3"/>
              <w:jc w:val="left"/>
            </w:pPr>
            <w:r>
              <w:rPr>
                <w:sz w:val="20"/>
              </w:rPr>
              <w:t>4.结构设计符合人体工效学。</w:t>
            </w:r>
          </w:p>
          <w:p>
            <w:pPr>
              <w:pStyle w:val="null3"/>
              <w:jc w:val="left"/>
            </w:pPr>
            <w:r>
              <w:rPr>
                <w:sz w:val="20"/>
              </w:rPr>
              <w:t>5.椅脚底配胶脚垫，实现防后仰、防滑、保护地板、静音的功能。</w:t>
            </w:r>
          </w:p>
        </w:tc>
      </w:tr>
      <w:tr>
        <w:tc>
          <w:tcPr>
            <w:tcW w:type="dxa" w:w="830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值班室</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钢架书桌</w:t>
            </w:r>
          </w:p>
        </w:tc>
        <w:tc>
          <w:tcPr>
            <w:tcW w:type="dxa" w:w="2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外形、结构（见家具设计图），整体尺寸如下：</w:t>
            </w:r>
            <w:r>
              <w:rPr>
                <w:sz w:val="20"/>
              </w:rPr>
              <w:t>1200mm*600mm*750</w:t>
            </w:r>
            <w:r>
              <w:rPr>
                <w:sz w:val="20"/>
              </w:rPr>
              <w:t>mm</w:t>
            </w:r>
            <w:r>
              <w:rPr>
                <w:sz w:val="20"/>
              </w:rPr>
              <w:t>（</w:t>
            </w:r>
            <w:r>
              <w:rPr>
                <w:sz w:val="20"/>
              </w:rPr>
              <w:t>±10mm</w:t>
            </w:r>
            <w:r>
              <w:rPr>
                <w:sz w:val="20"/>
              </w:rPr>
              <w:t>）</w:t>
            </w:r>
          </w:p>
        </w:tc>
        <w:tc>
          <w:tcPr>
            <w:tcW w:type="dxa" w:w="4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1.台面板材厚度≥25mm，其它板材≥18mm，铁制桌角≥20</w:t>
            </w:r>
            <w:r>
              <w:rPr>
                <w:sz w:val="20"/>
              </w:rPr>
              <w:t>mm</w:t>
            </w:r>
            <w:r>
              <w:rPr>
                <w:sz w:val="20"/>
              </w:rPr>
              <w:t>*40mm，两条铁质支撑≥20</w:t>
            </w:r>
            <w:r>
              <w:rPr>
                <w:sz w:val="20"/>
              </w:rPr>
              <w:t>mm</w:t>
            </w:r>
            <w:r>
              <w:rPr>
                <w:sz w:val="20"/>
              </w:rPr>
              <w:t>*40mm。</w:t>
            </w:r>
          </w:p>
          <w:p>
            <w:pPr>
              <w:pStyle w:val="null3"/>
              <w:jc w:val="left"/>
            </w:pPr>
            <w:r>
              <w:rPr>
                <w:sz w:val="20"/>
              </w:rPr>
              <w:t>2.材质：①台面采用高密度中纤板面贴三聚氰胺饰面纸，板露边处采用同色≥2mm厚PVC加热溶胶同色封边，做到平整，不炝边、受热受冻不会脱胶开裂；②支撑条采用高频焊接冷轧钢材，经除油、除锈、水基脱脂、水基中和，表面调整、磷化等工序后静电喷环氧型树脂粉沫涂料，表面光亮平整，油漆无颗粒、气泡、渣点，颜色均匀，高温固化而成。</w:t>
            </w:r>
          </w:p>
          <w:p>
            <w:pPr>
              <w:pStyle w:val="null3"/>
              <w:jc w:val="left"/>
            </w:pPr>
            <w:r>
              <w:rPr>
                <w:sz w:val="20"/>
              </w:rPr>
              <w:t>3.配件部分：所有五金件采用钢材制作。</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前台</w:t>
            </w:r>
          </w:p>
        </w:tc>
        <w:tc>
          <w:tcPr>
            <w:tcW w:type="dxa" w:w="2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外形、结构（见家具设计图），整体尺寸如下：</w:t>
            </w:r>
          </w:p>
          <w:p>
            <w:pPr>
              <w:pStyle w:val="null3"/>
              <w:jc w:val="left"/>
            </w:pPr>
            <w:r>
              <w:rPr>
                <w:sz w:val="20"/>
              </w:rPr>
              <w:t>型号一：整体</w:t>
            </w:r>
            <w:r>
              <w:rPr>
                <w:sz w:val="20"/>
              </w:rPr>
              <w:t>1900</w:t>
            </w:r>
            <w:r>
              <w:rPr>
                <w:sz w:val="20"/>
              </w:rPr>
              <w:t>mm</w:t>
            </w:r>
            <w:r>
              <w:rPr>
                <w:sz w:val="20"/>
              </w:rPr>
              <w:t>*850</w:t>
            </w:r>
            <w:r>
              <w:rPr>
                <w:sz w:val="20"/>
              </w:rPr>
              <w:t>mm</w:t>
            </w:r>
            <w:r>
              <w:rPr>
                <w:sz w:val="20"/>
              </w:rPr>
              <w:t>*1000/750mm</w:t>
            </w:r>
            <w:r>
              <w:rPr>
                <w:sz w:val="20"/>
              </w:rPr>
              <w:t>（</w:t>
            </w:r>
            <w:r>
              <w:rPr>
                <w:sz w:val="20"/>
              </w:rPr>
              <w:t>±10mm</w:t>
            </w:r>
            <w:r>
              <w:rPr>
                <w:sz w:val="20"/>
              </w:rPr>
              <w:t>）</w:t>
            </w:r>
            <w:r>
              <w:rPr>
                <w:sz w:val="20"/>
              </w:rPr>
              <w:t>；电脑柜</w:t>
            </w:r>
            <w:r>
              <w:rPr>
                <w:sz w:val="20"/>
              </w:rPr>
              <w:t>400</w:t>
            </w:r>
            <w:r>
              <w:rPr>
                <w:sz w:val="20"/>
              </w:rPr>
              <w:t>mm</w:t>
            </w:r>
            <w:r>
              <w:rPr>
                <w:sz w:val="20"/>
              </w:rPr>
              <w:t>*600</w:t>
            </w:r>
            <w:r>
              <w:rPr>
                <w:sz w:val="20"/>
              </w:rPr>
              <w:t>mm</w:t>
            </w:r>
            <w:r>
              <w:rPr>
                <w:sz w:val="20"/>
              </w:rPr>
              <w:t>*700mm</w:t>
            </w:r>
            <w:r>
              <w:rPr>
                <w:sz w:val="20"/>
              </w:rPr>
              <w:t>（</w:t>
            </w:r>
            <w:r>
              <w:rPr>
                <w:sz w:val="20"/>
              </w:rPr>
              <w:t>±10mm</w:t>
            </w:r>
            <w:r>
              <w:rPr>
                <w:sz w:val="20"/>
              </w:rPr>
              <w:t>）</w:t>
            </w:r>
            <w:r>
              <w:rPr>
                <w:sz w:val="20"/>
              </w:rPr>
              <w:t>；杂物柜</w:t>
            </w:r>
            <w:r>
              <w:rPr>
                <w:sz w:val="20"/>
              </w:rPr>
              <w:t>450</w:t>
            </w:r>
            <w:r>
              <w:rPr>
                <w:sz w:val="20"/>
              </w:rPr>
              <w:t>mm</w:t>
            </w:r>
            <w:r>
              <w:rPr>
                <w:sz w:val="20"/>
              </w:rPr>
              <w:t>*600</w:t>
            </w:r>
            <w:r>
              <w:rPr>
                <w:sz w:val="20"/>
              </w:rPr>
              <w:t>mm</w:t>
            </w:r>
            <w:r>
              <w:rPr>
                <w:sz w:val="20"/>
              </w:rPr>
              <w:t>*700mm</w:t>
            </w:r>
            <w:r>
              <w:rPr>
                <w:sz w:val="20"/>
              </w:rPr>
              <w:t>（</w:t>
            </w:r>
            <w:r>
              <w:rPr>
                <w:sz w:val="20"/>
              </w:rPr>
              <w:t>±10mm</w:t>
            </w:r>
            <w:r>
              <w:rPr>
                <w:sz w:val="20"/>
              </w:rPr>
              <w:t>）</w:t>
            </w:r>
            <w:r>
              <w:rPr>
                <w:sz w:val="20"/>
              </w:rPr>
              <w:t>；前台门</w:t>
            </w:r>
            <w:r>
              <w:rPr>
                <w:sz w:val="20"/>
              </w:rPr>
              <w:t>850</w:t>
            </w:r>
            <w:r>
              <w:rPr>
                <w:sz w:val="20"/>
              </w:rPr>
              <w:t>mm</w:t>
            </w:r>
            <w:r>
              <w:rPr>
                <w:sz w:val="20"/>
              </w:rPr>
              <w:t>*750mm</w:t>
            </w:r>
            <w:r>
              <w:rPr>
                <w:sz w:val="20"/>
              </w:rPr>
              <w:t>（</w:t>
            </w:r>
            <w:r>
              <w:rPr>
                <w:sz w:val="20"/>
              </w:rPr>
              <w:t>±10mm</w:t>
            </w:r>
            <w:r>
              <w:rPr>
                <w:sz w:val="20"/>
              </w:rPr>
              <w:t>）</w:t>
            </w:r>
          </w:p>
          <w:p>
            <w:pPr>
              <w:pStyle w:val="null3"/>
              <w:jc w:val="left"/>
            </w:pPr>
            <w:r>
              <w:rPr>
                <w:sz w:val="20"/>
              </w:rPr>
              <w:t>型号二：整体</w:t>
            </w:r>
            <w:r>
              <w:rPr>
                <w:sz w:val="20"/>
              </w:rPr>
              <w:t>2800</w:t>
            </w:r>
            <w:r>
              <w:rPr>
                <w:sz w:val="20"/>
              </w:rPr>
              <w:t>mm</w:t>
            </w:r>
            <w:r>
              <w:rPr>
                <w:sz w:val="20"/>
              </w:rPr>
              <w:t>*850</w:t>
            </w:r>
            <w:r>
              <w:rPr>
                <w:sz w:val="20"/>
              </w:rPr>
              <w:t>mm</w:t>
            </w:r>
            <w:r>
              <w:rPr>
                <w:sz w:val="20"/>
              </w:rPr>
              <w:t>*1000/750mm</w:t>
            </w:r>
            <w:r>
              <w:rPr>
                <w:sz w:val="20"/>
              </w:rPr>
              <w:t>（</w:t>
            </w:r>
            <w:r>
              <w:rPr>
                <w:sz w:val="20"/>
              </w:rPr>
              <w:t>±10mm</w:t>
            </w:r>
            <w:r>
              <w:rPr>
                <w:sz w:val="20"/>
              </w:rPr>
              <w:t>）</w:t>
            </w:r>
            <w:r>
              <w:rPr>
                <w:sz w:val="20"/>
              </w:rPr>
              <w:t>；电脑柜</w:t>
            </w:r>
            <w:r>
              <w:rPr>
                <w:sz w:val="20"/>
              </w:rPr>
              <w:t>400</w:t>
            </w:r>
            <w:r>
              <w:rPr>
                <w:sz w:val="20"/>
              </w:rPr>
              <w:t>mm</w:t>
            </w:r>
            <w:r>
              <w:rPr>
                <w:sz w:val="20"/>
              </w:rPr>
              <w:t>*600</w:t>
            </w:r>
            <w:r>
              <w:rPr>
                <w:sz w:val="20"/>
              </w:rPr>
              <w:t>mm</w:t>
            </w:r>
            <w:r>
              <w:rPr>
                <w:sz w:val="20"/>
              </w:rPr>
              <w:t>*700mm</w:t>
            </w:r>
            <w:r>
              <w:rPr>
                <w:sz w:val="20"/>
              </w:rPr>
              <w:t>（</w:t>
            </w:r>
            <w:r>
              <w:rPr>
                <w:sz w:val="20"/>
              </w:rPr>
              <w:t>±10mm</w:t>
            </w:r>
            <w:r>
              <w:rPr>
                <w:sz w:val="20"/>
              </w:rPr>
              <w:t>）</w:t>
            </w:r>
            <w:r>
              <w:rPr>
                <w:sz w:val="20"/>
              </w:rPr>
              <w:t>；杂物柜</w:t>
            </w:r>
            <w:r>
              <w:rPr>
                <w:sz w:val="20"/>
              </w:rPr>
              <w:t>450</w:t>
            </w:r>
            <w:r>
              <w:rPr>
                <w:sz w:val="20"/>
              </w:rPr>
              <w:t>mm</w:t>
            </w:r>
            <w:r>
              <w:rPr>
                <w:sz w:val="20"/>
              </w:rPr>
              <w:t>*600</w:t>
            </w:r>
            <w:r>
              <w:rPr>
                <w:sz w:val="20"/>
              </w:rPr>
              <w:t>mm</w:t>
            </w:r>
            <w:r>
              <w:rPr>
                <w:sz w:val="20"/>
              </w:rPr>
              <w:t>*700mm</w:t>
            </w:r>
            <w:r>
              <w:rPr>
                <w:sz w:val="20"/>
              </w:rPr>
              <w:t>（</w:t>
            </w:r>
            <w:r>
              <w:rPr>
                <w:sz w:val="20"/>
              </w:rPr>
              <w:t>±10mm</w:t>
            </w:r>
            <w:r>
              <w:rPr>
                <w:sz w:val="20"/>
              </w:rPr>
              <w:t>）</w:t>
            </w:r>
            <w:r>
              <w:rPr>
                <w:sz w:val="20"/>
              </w:rPr>
              <w:t>；前台门</w:t>
            </w:r>
            <w:r>
              <w:rPr>
                <w:sz w:val="20"/>
              </w:rPr>
              <w:t>850</w:t>
            </w:r>
            <w:r>
              <w:rPr>
                <w:sz w:val="20"/>
              </w:rPr>
              <w:t>mm</w:t>
            </w:r>
            <w:r>
              <w:rPr>
                <w:sz w:val="20"/>
              </w:rPr>
              <w:t>*750mm</w:t>
            </w:r>
            <w:r>
              <w:rPr>
                <w:sz w:val="20"/>
              </w:rPr>
              <w:t>（</w:t>
            </w:r>
            <w:r>
              <w:rPr>
                <w:sz w:val="20"/>
              </w:rPr>
              <w:t>±10mm</w:t>
            </w:r>
            <w:r>
              <w:rPr>
                <w:sz w:val="20"/>
              </w:rPr>
              <w:t>）</w:t>
            </w:r>
            <w:r>
              <w:rPr>
                <w:sz w:val="20"/>
              </w:rPr>
              <w:t>*2个</w:t>
            </w: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1.板面厚度≥25mm，其它板材≥18mm，钢骨架厚度≥1.2mm，包面钢板厚度≥1.0mm。</w:t>
            </w:r>
          </w:p>
          <w:p>
            <w:pPr>
              <w:pStyle w:val="null3"/>
              <w:jc w:val="left"/>
            </w:pPr>
            <w:r>
              <w:rPr>
                <w:sz w:val="20"/>
              </w:rPr>
              <w:t>2.材质：①台面采用高密度中纤板面贴三聚氰胺饰面纸，板露边处采用同色≥2mm厚PVC加热溶胶同色封边；②内置钢制骨架，主受力为金属支撑架；③冷轧钢板包面及门，经除油、除锈、水基脱脂、水基中和，表面调整、磷化等工序后静电喷环氧型树脂粉沫涂料，表面平整，油漆无颗粒、气泡、渣点，颜色均匀，高温固化。</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椅子</w:t>
            </w:r>
          </w:p>
        </w:tc>
        <w:tc>
          <w:tcPr>
            <w:tcW w:type="dxa" w:w="2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外形、结构（见家具设计图），整体尺寸如下：</w:t>
            </w:r>
          </w:p>
          <w:p>
            <w:pPr>
              <w:pStyle w:val="null3"/>
              <w:jc w:val="left"/>
            </w:pPr>
            <w:r>
              <w:rPr>
                <w:sz w:val="20"/>
              </w:rPr>
              <w:t>760/450</w:t>
            </w:r>
            <w:r>
              <w:rPr>
                <w:sz w:val="20"/>
              </w:rPr>
              <w:t>mm</w:t>
            </w:r>
            <w:r>
              <w:rPr>
                <w:sz w:val="20"/>
              </w:rPr>
              <w:t>*510</w:t>
            </w:r>
            <w:r>
              <w:rPr>
                <w:sz w:val="20"/>
              </w:rPr>
              <w:t>mm</w:t>
            </w:r>
            <w:r>
              <w:rPr>
                <w:sz w:val="20"/>
              </w:rPr>
              <w:t>*480mm</w:t>
            </w:r>
            <w:r>
              <w:rPr>
                <w:sz w:val="20"/>
              </w:rPr>
              <w:t>（</w:t>
            </w:r>
            <w:r>
              <w:rPr>
                <w:sz w:val="20"/>
              </w:rPr>
              <w:t>±10mm</w:t>
            </w:r>
            <w:r>
              <w:rPr>
                <w:sz w:val="20"/>
              </w:rPr>
              <w:t>）</w:t>
            </w: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1.背板厚度≥16mm，钢架圆管≥15Φ</w:t>
            </w:r>
          </w:p>
          <w:p>
            <w:pPr>
              <w:pStyle w:val="null3"/>
              <w:jc w:val="left"/>
            </w:pPr>
            <w:r>
              <w:rPr>
                <w:sz w:val="20"/>
              </w:rPr>
              <w:t>2.材质：①背板采用实木多层板弯板；②坐板基材中纤板，表面人造皮覆面，内填充高密度回弹海绵；③框架采用实心电镀碳素圆钢。</w:t>
            </w:r>
          </w:p>
          <w:p>
            <w:pPr>
              <w:pStyle w:val="null3"/>
              <w:jc w:val="left"/>
            </w:pPr>
            <w:r>
              <w:rPr>
                <w:sz w:val="20"/>
              </w:rPr>
              <w:t>3.配件部分：所有五金件采用钢材制作。</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更衣柜（</w:t>
            </w:r>
            <w:r>
              <w:rPr>
                <w:sz w:val="20"/>
              </w:rPr>
              <w:t>4节）</w:t>
            </w:r>
          </w:p>
        </w:tc>
        <w:tc>
          <w:tcPr>
            <w:tcW w:type="dxa" w:w="2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外形、结构（见家具设计图），整体尺寸如下：</w:t>
            </w:r>
          </w:p>
          <w:p>
            <w:pPr>
              <w:pStyle w:val="null3"/>
              <w:jc w:val="left"/>
            </w:pPr>
            <w:r>
              <w:rPr>
                <w:sz w:val="20"/>
              </w:rPr>
              <w:t>1200mm*550mm*2100mm</w:t>
            </w:r>
            <w:r>
              <w:rPr>
                <w:sz w:val="20"/>
              </w:rPr>
              <w:t>（</w:t>
            </w:r>
            <w:r>
              <w:rPr>
                <w:sz w:val="20"/>
              </w:rPr>
              <w:t>±10mm</w:t>
            </w:r>
            <w:r>
              <w:rPr>
                <w:sz w:val="20"/>
              </w:rPr>
              <w:t>）</w:t>
            </w:r>
            <w:r>
              <w:rPr>
                <w:sz w:val="20"/>
              </w:rPr>
              <w:t>（分四格）</w:t>
            </w: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1.钢板厚度≥0.8mm，</w:t>
            </w:r>
            <w:r>
              <w:rPr>
                <w:sz w:val="20"/>
              </w:rPr>
              <w:t>门板四边折弯加强，背面焊有加强筋</w:t>
            </w:r>
          </w:p>
          <w:p>
            <w:pPr>
              <w:pStyle w:val="null3"/>
              <w:jc w:val="left"/>
            </w:pPr>
            <w:r>
              <w:rPr>
                <w:sz w:val="20"/>
              </w:rPr>
              <w:t>2.材质：</w:t>
            </w:r>
            <w:r>
              <w:rPr>
                <w:sz w:val="20"/>
              </w:rPr>
              <w:t>采用国标一级冷轧钢板，表面静电喷涂粉末、高温固化；</w:t>
            </w:r>
          </w:p>
          <w:p>
            <w:pPr>
              <w:pStyle w:val="null3"/>
              <w:jc w:val="left"/>
            </w:pPr>
            <w:r>
              <w:rPr>
                <w:sz w:val="20"/>
              </w:rPr>
              <w:t>3.配置：①分为独立4格，每格独立门，每门配</w:t>
            </w:r>
            <w:r>
              <w:rPr>
                <w:sz w:val="20"/>
              </w:rPr>
              <w:t>机械式自动挂锁锁具，每门内置一张活动隔板，柜体分割为</w:t>
            </w:r>
            <w:r>
              <w:rPr>
                <w:sz w:val="20"/>
              </w:rPr>
              <w:t>2层。</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茶水柜</w:t>
            </w:r>
          </w:p>
        </w:tc>
        <w:tc>
          <w:tcPr>
            <w:tcW w:type="dxa" w:w="2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外形、结构（见家具设计图），整体尺寸如下：</w:t>
            </w:r>
          </w:p>
          <w:p>
            <w:pPr>
              <w:pStyle w:val="null3"/>
              <w:jc w:val="left"/>
            </w:pPr>
            <w:r>
              <w:rPr>
                <w:sz w:val="20"/>
              </w:rPr>
              <w:t>450mm*900mm*1100mm</w:t>
            </w:r>
            <w:r>
              <w:rPr>
                <w:sz w:val="20"/>
              </w:rPr>
              <w:t>（</w:t>
            </w:r>
            <w:r>
              <w:rPr>
                <w:sz w:val="20"/>
              </w:rPr>
              <w:t>±10mm</w:t>
            </w:r>
            <w:r>
              <w:rPr>
                <w:sz w:val="20"/>
              </w:rPr>
              <w:t>）</w:t>
            </w: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1.材质：面板岩板厚度≥12mm；其它材质为高密度中纤板面贴三聚氰胺饰面纸，厚度≥18mm；下两格采用玻璃门，厚度≥16mm。</w:t>
            </w:r>
          </w:p>
          <w:p>
            <w:pPr>
              <w:pStyle w:val="null3"/>
              <w:jc w:val="left"/>
            </w:pPr>
            <w:r>
              <w:rPr>
                <w:sz w:val="20"/>
              </w:rPr>
              <w:t>2.配置：整体分三格，柜面岩板，第一层镂空无门板，背板预留电位镂空；下两个采用玻璃门。</w:t>
            </w:r>
          </w:p>
          <w:p>
            <w:pPr>
              <w:pStyle w:val="null3"/>
              <w:jc w:val="left"/>
            </w:pPr>
            <w:r>
              <w:rPr>
                <w:sz w:val="20"/>
              </w:rPr>
              <w:t>3.配件部分：所有五金件采用钢材制作。</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钥匙柜</w:t>
            </w:r>
          </w:p>
        </w:tc>
        <w:tc>
          <w:tcPr>
            <w:tcW w:type="dxa" w:w="2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外形、结构（见家具设计图），整体尺寸如下：</w:t>
            </w:r>
          </w:p>
          <w:p>
            <w:pPr>
              <w:pStyle w:val="null3"/>
              <w:jc w:val="left"/>
            </w:pPr>
            <w:r>
              <w:rPr>
                <w:sz w:val="20"/>
              </w:rPr>
              <w:t>1800mm*660mm*400mm</w:t>
            </w:r>
            <w:r>
              <w:rPr>
                <w:sz w:val="20"/>
              </w:rPr>
              <w:t>（</w:t>
            </w:r>
            <w:r>
              <w:rPr>
                <w:sz w:val="20"/>
              </w:rPr>
              <w:t>±10mm</w:t>
            </w:r>
            <w:r>
              <w:rPr>
                <w:sz w:val="20"/>
              </w:rPr>
              <w:t>）</w:t>
            </w: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r>
              <w:rPr>
                <w:sz w:val="20"/>
              </w:rPr>
              <w:t>材质：整体采用冷扎钢板，厚度</w:t>
            </w:r>
            <w:r>
              <w:rPr>
                <w:sz w:val="20"/>
              </w:rPr>
              <w:t>≥0.8mm，经数控设备冲孔，折弯和焊接而成，表面经去油、除锈、抛丸、硅烷处理或磷化处理后静电喷塑，安全牢固，防锈防腐防潮。</w:t>
            </w:r>
          </w:p>
          <w:p>
            <w:pPr>
              <w:pStyle w:val="null3"/>
              <w:jc w:val="left"/>
            </w:pPr>
            <w:r>
              <w:rPr>
                <w:sz w:val="20"/>
              </w:rPr>
              <w:t>2.</w:t>
            </w:r>
            <w:r>
              <w:rPr>
                <w:sz w:val="20"/>
              </w:rPr>
              <w:t>配置：分上下两层，上层作为钥匙柜，下层储物柜。上层内置五块钥匙挂板，上下安装导轨，可推拉，钥匙最小挂置数量</w:t>
            </w:r>
            <w:r>
              <w:rPr>
                <w:sz w:val="20"/>
              </w:rPr>
              <w:t>430片。</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沙发</w:t>
            </w:r>
          </w:p>
        </w:tc>
        <w:tc>
          <w:tcPr>
            <w:tcW w:type="dxa" w:w="2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外形、结构（见家具设计图），整体尺寸如下：</w:t>
            </w:r>
          </w:p>
          <w:p>
            <w:pPr>
              <w:pStyle w:val="null3"/>
              <w:jc w:val="left"/>
            </w:pPr>
            <w:r>
              <w:rPr>
                <w:sz w:val="20"/>
              </w:rPr>
              <w:t>三人位：</w:t>
            </w:r>
            <w:r>
              <w:rPr>
                <w:sz w:val="20"/>
              </w:rPr>
              <w:t>1700</w:t>
            </w:r>
            <w:r>
              <w:rPr>
                <w:sz w:val="20"/>
              </w:rPr>
              <w:t>mm</w:t>
            </w:r>
            <w:r>
              <w:rPr>
                <w:sz w:val="20"/>
              </w:rPr>
              <w:t>*700</w:t>
            </w:r>
            <w:r>
              <w:rPr>
                <w:sz w:val="20"/>
              </w:rPr>
              <w:t>mm</w:t>
            </w:r>
            <w:r>
              <w:rPr>
                <w:sz w:val="20"/>
              </w:rPr>
              <w:t>*800mm</w:t>
            </w:r>
            <w:r>
              <w:rPr>
                <w:sz w:val="20"/>
              </w:rPr>
              <w:t>（</w:t>
            </w:r>
            <w:r>
              <w:rPr>
                <w:sz w:val="20"/>
              </w:rPr>
              <w:t>±10mm</w:t>
            </w:r>
            <w:r>
              <w:rPr>
                <w:sz w:val="20"/>
              </w:rPr>
              <w:t>）</w:t>
            </w:r>
          </w:p>
          <w:p>
            <w:pPr>
              <w:pStyle w:val="null3"/>
              <w:jc w:val="left"/>
            </w:pPr>
            <w:r>
              <w:rPr>
                <w:sz w:val="20"/>
              </w:rPr>
              <w:t>四人位：</w:t>
            </w:r>
            <w:r>
              <w:rPr>
                <w:sz w:val="20"/>
              </w:rPr>
              <w:t>2200</w:t>
            </w:r>
            <w:r>
              <w:rPr>
                <w:sz w:val="20"/>
              </w:rPr>
              <w:t>mm</w:t>
            </w:r>
            <w:r>
              <w:rPr>
                <w:sz w:val="20"/>
              </w:rPr>
              <w:t>*700</w:t>
            </w:r>
            <w:r>
              <w:rPr>
                <w:sz w:val="20"/>
              </w:rPr>
              <w:t>mm</w:t>
            </w:r>
            <w:r>
              <w:rPr>
                <w:sz w:val="20"/>
              </w:rPr>
              <w:t>*800mm</w:t>
            </w:r>
            <w:r>
              <w:rPr>
                <w:sz w:val="20"/>
              </w:rPr>
              <w:t>（</w:t>
            </w:r>
            <w:r>
              <w:rPr>
                <w:sz w:val="20"/>
              </w:rPr>
              <w:t>±10mm</w:t>
            </w:r>
            <w:r>
              <w:rPr>
                <w:sz w:val="20"/>
              </w:rPr>
              <w:t>）</w:t>
            </w: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1.最大坐深约620mm，坐板厚度≥25mm，靠背板厚度≥20mm，波浪形镂空。</w:t>
            </w:r>
          </w:p>
          <w:p>
            <w:pPr>
              <w:pStyle w:val="null3"/>
              <w:jc w:val="left"/>
            </w:pPr>
            <w:r>
              <w:rPr>
                <w:sz w:val="20"/>
              </w:rPr>
              <w:t>2.材质：整体采用优质环保橡胶木实木攒框，按照行业规范进行烘干、杀菌、杀虫处理，保证材料不会变形生虫。</w:t>
            </w:r>
          </w:p>
          <w:p>
            <w:pPr>
              <w:pStyle w:val="null3"/>
              <w:jc w:val="left"/>
            </w:pPr>
            <w:r>
              <w:rPr>
                <w:sz w:val="20"/>
              </w:rPr>
              <w:t>3.配件部分：所有五金件采用钢材制作。</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茶几</w:t>
            </w:r>
          </w:p>
        </w:tc>
        <w:tc>
          <w:tcPr>
            <w:tcW w:type="dxa" w:w="2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外形、结构（见家具设计图），整体尺寸如下：</w:t>
            </w:r>
          </w:p>
          <w:p>
            <w:pPr>
              <w:pStyle w:val="null3"/>
              <w:jc w:val="left"/>
            </w:pPr>
            <w:r>
              <w:rPr>
                <w:sz w:val="20"/>
              </w:rPr>
              <w:t>1200</w:t>
            </w:r>
            <w:r>
              <w:rPr>
                <w:sz w:val="20"/>
              </w:rPr>
              <w:t>mm</w:t>
            </w:r>
            <w:r>
              <w:rPr>
                <w:sz w:val="20"/>
              </w:rPr>
              <w:t>*420</w:t>
            </w:r>
            <w:r>
              <w:rPr>
                <w:sz w:val="20"/>
              </w:rPr>
              <w:t>mm</w:t>
            </w:r>
            <w:r>
              <w:rPr>
                <w:sz w:val="20"/>
              </w:rPr>
              <w:t>*700mm</w:t>
            </w:r>
            <w:r>
              <w:rPr>
                <w:sz w:val="20"/>
              </w:rPr>
              <w:t>（</w:t>
            </w:r>
            <w:r>
              <w:rPr>
                <w:sz w:val="20"/>
              </w:rPr>
              <w:t>±10mm</w:t>
            </w:r>
            <w:r>
              <w:rPr>
                <w:sz w:val="20"/>
              </w:rPr>
              <w:t>）</w:t>
            </w:r>
          </w:p>
        </w:tc>
        <w:tc>
          <w:tcPr>
            <w:tcW w:type="dxa" w:w="4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1.面板厚度≥25mm，其他板材厚度≥18mm；四脚木方≥50</w:t>
            </w:r>
            <w:r>
              <w:rPr>
                <w:sz w:val="20"/>
              </w:rPr>
              <w:t>mm</w:t>
            </w:r>
            <w:r>
              <w:rPr>
                <w:sz w:val="20"/>
              </w:rPr>
              <w:t>*50mm</w:t>
            </w:r>
          </w:p>
          <w:p>
            <w:pPr>
              <w:pStyle w:val="null3"/>
              <w:jc w:val="left"/>
            </w:pPr>
            <w:r>
              <w:rPr>
                <w:sz w:val="20"/>
              </w:rPr>
              <w:t>2.材质：整体采用优质环保橡胶木实木，按照行业规范进行烘干、杀菌、杀虫处理，保证材料不会变形生虫</w:t>
            </w:r>
          </w:p>
          <w:p>
            <w:pPr>
              <w:pStyle w:val="null3"/>
              <w:jc w:val="left"/>
            </w:pPr>
            <w:r>
              <w:rPr>
                <w:sz w:val="20"/>
              </w:rPr>
              <w:t>3.配件部分：所有五金件采用钢材制作。</w:t>
            </w:r>
          </w:p>
        </w:tc>
      </w:tr>
    </w:tbl>
    <w:p>
      <w:pPr>
        <w:pStyle w:val="null3"/>
        <w:jc w:val="both"/>
      </w:pPr>
      <w:r>
        <w:rPr>
          <w:sz w:val="20"/>
          <w:b/>
        </w:rPr>
        <w:t>2、产品质量及其他技术标准要求</w:t>
      </w:r>
    </w:p>
    <w:p>
      <w:pPr>
        <w:pStyle w:val="null3"/>
        <w:ind w:firstLine="400"/>
        <w:jc w:val="left"/>
      </w:pPr>
      <w:r>
        <w:rPr>
          <w:sz w:val="20"/>
        </w:rPr>
        <w:t>1.</w:t>
      </w:r>
      <w:r>
        <w:rPr>
          <w:sz w:val="20"/>
        </w:rPr>
        <w:t>投标人应提供符合国家标准或行业标准要求的</w:t>
      </w:r>
      <w:r>
        <w:rPr>
          <w:sz w:val="20"/>
        </w:rPr>
        <w:t>主要材料（包括但不限于：</w:t>
      </w:r>
      <w:r>
        <w:rPr>
          <w:sz w:val="20"/>
        </w:rPr>
        <w:t>PP</w:t>
      </w:r>
      <w:r>
        <w:rPr>
          <w:sz w:val="20"/>
        </w:rPr>
        <w:t>塑料</w:t>
      </w:r>
      <w:r>
        <w:rPr>
          <w:sz w:val="20"/>
        </w:rPr>
        <w:t>、</w:t>
      </w:r>
      <w:r>
        <w:rPr>
          <w:sz w:val="20"/>
        </w:rPr>
        <w:t>冷轧钢板、</w:t>
      </w:r>
      <w:r>
        <w:rPr>
          <w:sz w:val="20"/>
        </w:rPr>
        <w:t>多层实木板</w:t>
      </w:r>
      <w:r>
        <w:rPr>
          <w:sz w:val="20"/>
        </w:rPr>
        <w:t>、</w:t>
      </w:r>
      <w:r>
        <w:rPr>
          <w:sz w:val="20"/>
        </w:rPr>
        <w:t>抑菌静电喷涂粉末</w:t>
      </w:r>
      <w:r>
        <w:rPr>
          <w:sz w:val="20"/>
        </w:rPr>
        <w:t>）</w:t>
      </w:r>
      <w:r>
        <w:rPr>
          <w:sz w:val="20"/>
        </w:rPr>
        <w:t>，</w:t>
      </w:r>
      <w:r>
        <w:rPr>
          <w:sz w:val="20"/>
        </w:rPr>
        <w:t>具体参数要求如下</w:t>
      </w:r>
      <w:r>
        <w:rPr>
          <w:sz w:val="20"/>
        </w:rPr>
        <w:t>：</w:t>
      </w:r>
    </w:p>
    <w:p>
      <w:pPr>
        <w:pStyle w:val="null3"/>
        <w:ind w:firstLine="400"/>
        <w:jc w:val="left"/>
      </w:pPr>
      <w:r>
        <w:rPr>
          <w:sz w:val="20"/>
        </w:rPr>
        <w:t>（</w:t>
      </w:r>
      <w:r>
        <w:rPr>
          <w:sz w:val="20"/>
        </w:rPr>
        <w:t>1</w:t>
      </w:r>
      <w:r>
        <w:rPr>
          <w:sz w:val="20"/>
        </w:rPr>
        <w:t>）</w:t>
      </w:r>
      <w:r>
        <w:rPr>
          <w:sz w:val="20"/>
        </w:rPr>
        <w:t>国家强制性标准：</w:t>
      </w:r>
    </w:p>
    <w:p>
      <w:pPr>
        <w:pStyle w:val="null3"/>
        <w:ind w:firstLine="400"/>
        <w:jc w:val="left"/>
      </w:pPr>
      <w:r>
        <w:rPr>
          <w:sz w:val="20"/>
        </w:rPr>
        <w:t>1</w:t>
      </w:r>
      <w:r>
        <w:rPr>
          <w:sz w:val="20"/>
        </w:rPr>
        <w:t>）</w:t>
      </w:r>
      <w:r>
        <w:rPr>
          <w:sz w:val="20"/>
        </w:rPr>
        <w:t>PP塑料符合：GB 18584-2024《家具中有害物质限量》</w:t>
      </w:r>
      <w:r>
        <w:rPr>
          <w:sz w:val="20"/>
        </w:rPr>
        <w:t>标准</w:t>
      </w:r>
      <w:r>
        <w:rPr>
          <w:sz w:val="20"/>
        </w:rPr>
        <w:t>要求，检测内容为：可迁移元素均未检出（</w:t>
      </w:r>
      <w:r>
        <w:rPr>
          <w:sz w:val="20"/>
        </w:rPr>
        <w:t>Pb、Cd、Cr、Hg），邻苯二甲酸酯（DBP、BBP、DEHP、DNOP、DINP、DIDP）均合格。</w:t>
      </w:r>
    </w:p>
    <w:p>
      <w:pPr>
        <w:pStyle w:val="null3"/>
        <w:ind w:firstLine="400"/>
        <w:jc w:val="both"/>
      </w:pPr>
      <w:r>
        <w:rPr>
          <w:sz w:val="20"/>
          <w:shd w:fill="FFFFFF" w:val="clear"/>
        </w:rPr>
        <w:t>2</w:t>
      </w:r>
      <w:r>
        <w:rPr>
          <w:sz w:val="20"/>
          <w:shd w:fill="FFFFFF" w:val="clear"/>
        </w:rPr>
        <w:t>）</w:t>
      </w:r>
      <w:r>
        <w:rPr>
          <w:sz w:val="20"/>
          <w:shd w:fill="FFFFFF" w:val="clear"/>
        </w:rPr>
        <w:t>E0级多层实木板</w:t>
      </w:r>
      <w:r>
        <w:rPr>
          <w:sz w:val="20"/>
          <w:shd w:fill="FFFFFF" w:val="clear"/>
        </w:rPr>
        <w:t>符合</w:t>
      </w:r>
      <w:r>
        <w:rPr>
          <w:sz w:val="20"/>
          <w:shd w:fill="FFFFFF" w:val="clear"/>
        </w:rPr>
        <w:t>：</w:t>
      </w:r>
      <w:r>
        <w:rPr>
          <w:sz w:val="20"/>
          <w:shd w:fill="FFFFFF" w:val="clear"/>
        </w:rPr>
        <w:t>GB 8624-2012、GB 18580-</w:t>
      </w:r>
      <w:r>
        <w:rPr>
          <w:sz w:val="20"/>
          <w:shd w:fill="FFFFFF" w:val="clear"/>
        </w:rPr>
        <w:t>2025</w:t>
      </w:r>
      <w:r>
        <w:rPr>
          <w:sz w:val="20"/>
          <w:shd w:fill="FFFFFF" w:val="clear"/>
        </w:rPr>
        <w:t>标准</w:t>
      </w:r>
      <w:r>
        <w:rPr>
          <w:sz w:val="20"/>
          <w:shd w:fill="FFFFFF" w:val="clear"/>
        </w:rPr>
        <w:t>要求</w:t>
      </w:r>
      <w:r>
        <w:rPr>
          <w:sz w:val="20"/>
          <w:shd w:fill="FFFFFF" w:val="clear"/>
        </w:rPr>
        <w:t>,</w:t>
      </w:r>
      <w:r>
        <w:rPr>
          <w:sz w:val="20"/>
          <w:shd w:fill="FFFFFF" w:val="clear"/>
        </w:rPr>
        <w:t>检测内容为：</w:t>
      </w:r>
      <w:r>
        <w:rPr>
          <w:sz w:val="20"/>
          <w:shd w:fill="FFFFFF" w:val="clear"/>
        </w:rPr>
        <w:t>①</w:t>
      </w:r>
      <w:r>
        <w:rPr>
          <w:sz w:val="20"/>
          <w:shd w:fill="FFFFFF" w:val="clear"/>
        </w:rPr>
        <w:t>甲醛释放量</w:t>
      </w:r>
      <w:r>
        <w:rPr>
          <w:sz w:val="20"/>
          <w:shd w:fill="FFFFFF" w:val="clear"/>
        </w:rPr>
        <w:t>≤0.05mg/m³。</w:t>
      </w:r>
      <w:r>
        <w:rPr>
          <w:sz w:val="20"/>
          <w:shd w:fill="FFFFFF" w:val="clear"/>
        </w:rPr>
        <w:t>②</w:t>
      </w:r>
      <w:r>
        <w:rPr>
          <w:sz w:val="20"/>
          <w:shd w:fill="FFFFFF" w:val="clear"/>
        </w:rPr>
        <w:t>总挥发性有机化合物（</w:t>
      </w:r>
      <w:r>
        <w:rPr>
          <w:sz w:val="20"/>
          <w:shd w:fill="FFFFFF" w:val="clear"/>
        </w:rPr>
        <w:t>TVOC）：未检出。</w:t>
      </w:r>
      <w:r>
        <w:rPr>
          <w:sz w:val="20"/>
          <w:shd w:fill="FFFFFF" w:val="clear"/>
        </w:rPr>
        <w:t>③</w:t>
      </w:r>
      <w:r>
        <w:rPr>
          <w:sz w:val="20"/>
          <w:shd w:fill="FFFFFF" w:val="clear"/>
        </w:rPr>
        <w:t>品质属性：苯、甲苯、二甲苯，未检出。</w:t>
      </w:r>
      <w:r>
        <w:rPr>
          <w:sz w:val="20"/>
          <w:shd w:fill="FFFFFF" w:val="clear"/>
        </w:rPr>
        <w:t>④</w:t>
      </w:r>
      <w:r>
        <w:rPr>
          <w:sz w:val="20"/>
          <w:shd w:fill="FFFFFF" w:val="clear"/>
        </w:rPr>
        <w:t>平板状建筑材料及制品的燃烧性能等级</w:t>
      </w:r>
      <w:r>
        <w:rPr>
          <w:sz w:val="20"/>
          <w:shd w:fill="FFFFFF" w:val="clear"/>
        </w:rPr>
        <w:t>B1（B)级或以上。</w:t>
      </w:r>
    </w:p>
    <w:p>
      <w:pPr>
        <w:pStyle w:val="null3"/>
        <w:ind w:firstLine="400"/>
        <w:jc w:val="both"/>
      </w:pPr>
      <w:r>
        <w:rPr>
          <w:sz w:val="20"/>
        </w:rPr>
        <w:t>（</w:t>
      </w:r>
      <w:r>
        <w:rPr>
          <w:sz w:val="20"/>
        </w:rPr>
        <w:t>2）国家推荐标准及行业推荐标准：</w:t>
      </w:r>
    </w:p>
    <w:p>
      <w:pPr>
        <w:pStyle w:val="null3"/>
        <w:ind w:firstLine="400"/>
        <w:jc w:val="left"/>
      </w:pPr>
      <w:r>
        <w:rPr>
          <w:sz w:val="20"/>
        </w:rPr>
        <w:t>1</w:t>
      </w:r>
      <w:r>
        <w:rPr>
          <w:sz w:val="20"/>
        </w:rPr>
        <w:t>）</w:t>
      </w:r>
      <w:r>
        <w:rPr>
          <w:sz w:val="20"/>
        </w:rPr>
        <w:t>PP塑料检验依据包括但不限于：</w:t>
      </w:r>
      <w:r>
        <w:rPr>
          <w:sz w:val="20"/>
        </w:rPr>
        <w:t>GB/T 2408-2021标准</w:t>
      </w:r>
      <w:r>
        <w:rPr>
          <w:sz w:val="20"/>
        </w:rPr>
        <w:t>,</w:t>
      </w:r>
      <w:r>
        <w:rPr>
          <w:sz w:val="20"/>
        </w:rPr>
        <w:t>检测</w:t>
      </w:r>
      <w:r>
        <w:rPr>
          <w:sz w:val="20"/>
        </w:rPr>
        <w:t>结果</w:t>
      </w:r>
      <w:r>
        <w:rPr>
          <w:sz w:val="20"/>
        </w:rPr>
        <w:t>：燃烧性能等级</w:t>
      </w:r>
      <w:r>
        <w:rPr>
          <w:sz w:val="20"/>
        </w:rPr>
        <w:t>V-1或以上</w:t>
      </w:r>
      <w:r>
        <w:rPr>
          <w:sz w:val="20"/>
        </w:rPr>
        <w:t>。</w:t>
      </w:r>
    </w:p>
    <w:p>
      <w:pPr>
        <w:pStyle w:val="null3"/>
        <w:ind w:firstLine="400"/>
        <w:jc w:val="both"/>
      </w:pPr>
      <w:r>
        <w:rPr>
          <w:sz w:val="20"/>
          <w:shd w:fill="FFFFFF" w:val="clear"/>
        </w:rPr>
        <w:t>2）冷轧钢板检验依据包括但不限于：</w:t>
      </w:r>
      <w:r>
        <w:rPr>
          <w:sz w:val="20"/>
          <w:shd w:fill="FFFFFF" w:val="clear"/>
        </w:rPr>
        <w:t>QB/T 3828-1999、</w:t>
      </w:r>
      <w:r>
        <w:rPr>
          <w:sz w:val="20"/>
          <w:shd w:fill="FFFFFF" w:val="clear"/>
        </w:rPr>
        <w:t>GB/T13448-2019</w:t>
      </w:r>
      <w:r>
        <w:rPr>
          <w:sz w:val="20"/>
          <w:shd w:fill="FFFFFF" w:val="clear"/>
        </w:rPr>
        <w:t>标准</w:t>
      </w:r>
      <w:r>
        <w:rPr>
          <w:sz w:val="20"/>
          <w:shd w:fill="FFFFFF" w:val="clear"/>
        </w:rPr>
        <w:t>，检测</w:t>
      </w:r>
      <w:r>
        <w:rPr>
          <w:sz w:val="20"/>
          <w:shd w:fill="FFFFFF" w:val="clear"/>
        </w:rPr>
        <w:t>结果</w:t>
      </w:r>
      <w:r>
        <w:rPr>
          <w:sz w:val="20"/>
          <w:shd w:fill="FFFFFF" w:val="clear"/>
        </w:rPr>
        <w:t>①</w:t>
      </w:r>
      <w:r>
        <w:rPr>
          <w:sz w:val="20"/>
          <w:shd w:fill="FFFFFF" w:val="clear"/>
        </w:rPr>
        <w:t>镀（涂）层对基体的保护等级（检测结果）</w:t>
      </w:r>
      <w:r>
        <w:rPr>
          <w:sz w:val="20"/>
          <w:shd w:fill="FFFFFF" w:val="clear"/>
        </w:rPr>
        <w:t>≥9级</w:t>
      </w:r>
      <w:r>
        <w:rPr>
          <w:sz w:val="20"/>
          <w:shd w:fill="FFFFFF" w:val="clear"/>
        </w:rPr>
        <w:t>,</w:t>
      </w:r>
      <w:r>
        <w:rPr>
          <w:sz w:val="20"/>
          <w:shd w:fill="FFFFFF" w:val="clear"/>
        </w:rPr>
        <w:t>②</w:t>
      </w:r>
      <w:r>
        <w:rPr>
          <w:sz w:val="20"/>
          <w:shd w:fill="FFFFFF" w:val="clear"/>
        </w:rPr>
        <w:t>镀（涂）层本身耐腐蚀等级（检测结果）</w:t>
      </w:r>
      <w:r>
        <w:rPr>
          <w:sz w:val="20"/>
          <w:shd w:fill="FFFFFF" w:val="clear"/>
        </w:rPr>
        <w:t>≥9级；</w:t>
      </w:r>
    </w:p>
    <w:p>
      <w:pPr>
        <w:pStyle w:val="null3"/>
        <w:ind w:firstLine="400"/>
        <w:jc w:val="both"/>
      </w:pPr>
      <w:r>
        <w:rPr>
          <w:sz w:val="20"/>
          <w:shd w:fill="FFFFFF" w:val="clear"/>
        </w:rPr>
        <w:t>3</w:t>
      </w:r>
      <w:r>
        <w:rPr>
          <w:sz w:val="20"/>
          <w:shd w:fill="FFFFFF" w:val="clear"/>
        </w:rPr>
        <w:t>）</w:t>
      </w:r>
      <w:r>
        <w:rPr>
          <w:sz w:val="20"/>
          <w:shd w:fill="FFFFFF" w:val="clear"/>
        </w:rPr>
        <w:t>E0级多层实木板</w:t>
      </w:r>
      <w:r>
        <w:rPr>
          <w:sz w:val="20"/>
          <w:shd w:fill="FFFFFF" w:val="clear"/>
        </w:rPr>
        <w:t>检验依据包括但不限于：</w:t>
      </w:r>
      <w:r>
        <w:rPr>
          <w:sz w:val="20"/>
          <w:shd w:fill="FFFFFF" w:val="clear"/>
        </w:rPr>
        <w:t>GB/T 39600-2021、</w:t>
      </w:r>
      <w:r>
        <w:rPr>
          <w:sz w:val="20"/>
          <w:shd w:fill="FFFFFF" w:val="clear"/>
        </w:rPr>
        <w:t xml:space="preserve"> </w:t>
      </w:r>
      <w:r>
        <w:rPr>
          <w:sz w:val="20"/>
          <w:shd w:fill="FFFFFF" w:val="clear"/>
        </w:rPr>
        <w:t>GB/T 35601-2024</w:t>
      </w:r>
      <w:r>
        <w:rPr>
          <w:sz w:val="20"/>
          <w:shd w:fill="FFFFFF" w:val="clear"/>
        </w:rPr>
        <w:t>、</w:t>
      </w:r>
      <w:r>
        <w:rPr>
          <w:sz w:val="20"/>
          <w:shd w:fill="FFFFFF" w:val="clear"/>
        </w:rPr>
        <w:t>GB/T 17657-2023、GB/T 20284-2006标准</w:t>
      </w:r>
      <w:r>
        <w:rPr>
          <w:sz w:val="20"/>
          <w:shd w:fill="FFFFFF" w:val="clear"/>
        </w:rPr>
        <w:t>,</w:t>
      </w:r>
      <w:r>
        <w:rPr>
          <w:sz w:val="20"/>
          <w:shd w:fill="FFFFFF" w:val="clear"/>
        </w:rPr>
        <w:t>检测</w:t>
      </w:r>
      <w:r>
        <w:rPr>
          <w:sz w:val="20"/>
          <w:shd w:fill="FFFFFF" w:val="clear"/>
        </w:rPr>
        <w:t>结果</w:t>
      </w:r>
      <w:r>
        <w:rPr>
          <w:sz w:val="20"/>
          <w:shd w:fill="FFFFFF" w:val="clear"/>
        </w:rPr>
        <w:t>：</w:t>
      </w:r>
      <w:r>
        <w:rPr>
          <w:sz w:val="20"/>
          <w:shd w:fill="FFFFFF" w:val="clear"/>
        </w:rPr>
        <w:t>①理化性能检测为合格。②防潮性能检测为合格。</w:t>
      </w:r>
      <w:r>
        <w:rPr>
          <w:sz w:val="20"/>
          <w:shd w:fill="FFFFFF" w:val="clear"/>
        </w:rPr>
        <w:t>③</w:t>
      </w:r>
      <w:r>
        <w:rPr>
          <w:sz w:val="20"/>
          <w:shd w:fill="FFFFFF" w:val="clear"/>
        </w:rPr>
        <w:t>产品有害物质：达到</w:t>
      </w:r>
      <w:r>
        <w:rPr>
          <w:sz w:val="20"/>
          <w:shd w:fill="FFFFFF" w:val="clear"/>
        </w:rPr>
        <w:t>E0级或以上标准要求</w:t>
      </w:r>
      <w:r>
        <w:rPr>
          <w:sz w:val="20"/>
          <w:shd w:fill="FFFFFF" w:val="clear"/>
        </w:rPr>
        <w:t>。</w:t>
      </w:r>
    </w:p>
    <w:p>
      <w:pPr>
        <w:pStyle w:val="null3"/>
        <w:ind w:firstLine="400"/>
        <w:jc w:val="both"/>
      </w:pPr>
      <w:r>
        <w:rPr>
          <w:sz w:val="20"/>
          <w:shd w:fill="FFFFFF" w:val="clear"/>
        </w:rPr>
        <w:t>4</w:t>
      </w:r>
      <w:r>
        <w:rPr>
          <w:sz w:val="20"/>
          <w:shd w:fill="FFFFFF" w:val="clear"/>
        </w:rPr>
        <w:t>）</w:t>
      </w:r>
      <w:r>
        <w:rPr>
          <w:sz w:val="20"/>
          <w:shd w:fill="FFFFFF" w:val="clear"/>
        </w:rPr>
        <w:t>抑菌静电喷涂粉末符合：</w:t>
      </w:r>
      <w:r>
        <w:rPr>
          <w:sz w:val="20"/>
          <w:shd w:fill="FFFFFF" w:val="clear"/>
        </w:rPr>
        <w:t>GB/T 3325-2024、QB/T3826-1999检测标准，检测内容为：中性盐雾试验、理化性能要求：金属喷漆(型)涂层-硬度、金属喷漆(型)涂层-冲击强度，均合格</w:t>
      </w:r>
      <w:r>
        <w:rPr>
          <w:sz w:val="20"/>
          <w:shd w:fill="FFFFFF" w:val="clear"/>
        </w:rPr>
        <w:t>。</w:t>
      </w:r>
    </w:p>
    <w:p>
      <w:pPr>
        <w:pStyle w:val="null3"/>
        <w:ind w:firstLine="400"/>
        <w:jc w:val="both"/>
      </w:pPr>
      <w:r>
        <w:rPr>
          <w:sz w:val="20"/>
        </w:rPr>
        <w:t>2.</w:t>
      </w:r>
      <w:r>
        <w:rPr>
          <w:sz w:val="20"/>
        </w:rPr>
        <w:t>投标人应提供符合国家标准或行业标准要求的</w:t>
      </w:r>
      <w:r>
        <w:rPr>
          <w:sz w:val="20"/>
        </w:rPr>
        <w:t>主要</w:t>
      </w:r>
      <w:r>
        <w:rPr>
          <w:sz w:val="20"/>
        </w:rPr>
        <w:t>构件</w:t>
      </w:r>
      <w:r>
        <w:rPr>
          <w:sz w:val="20"/>
        </w:rPr>
        <w:t>（包括但不限于：</w:t>
      </w:r>
      <w:r>
        <w:rPr>
          <w:sz w:val="20"/>
        </w:rPr>
        <w:t>床立柱、</w:t>
      </w:r>
      <w:r>
        <w:rPr>
          <w:sz w:val="20"/>
        </w:rPr>
        <w:t>床横梁、</w:t>
      </w:r>
      <w:r>
        <w:rPr>
          <w:sz w:val="20"/>
        </w:rPr>
        <w:t>尼龙脚套、</w:t>
      </w:r>
      <w:r>
        <w:rPr>
          <w:sz w:val="20"/>
        </w:rPr>
        <w:t>床前护栏</w:t>
      </w:r>
      <w:r>
        <w:rPr>
          <w:sz w:val="20"/>
        </w:rPr>
        <w:t>）</w:t>
      </w:r>
      <w:r>
        <w:rPr>
          <w:sz w:val="20"/>
        </w:rPr>
        <w:t>，</w:t>
      </w:r>
      <w:r>
        <w:rPr>
          <w:sz w:val="20"/>
        </w:rPr>
        <w:t>具体参数要求如下</w:t>
      </w:r>
      <w:r>
        <w:rPr>
          <w:sz w:val="20"/>
        </w:rPr>
        <w:t>：</w:t>
      </w:r>
    </w:p>
    <w:p>
      <w:pPr>
        <w:pStyle w:val="null3"/>
        <w:ind w:firstLine="400"/>
        <w:jc w:val="left"/>
      </w:pPr>
      <w:r>
        <w:rPr>
          <w:sz w:val="20"/>
        </w:rPr>
        <w:t>（</w:t>
      </w:r>
      <w:r>
        <w:rPr>
          <w:sz w:val="20"/>
        </w:rPr>
        <w:t>1</w:t>
      </w:r>
      <w:r>
        <w:rPr>
          <w:sz w:val="20"/>
        </w:rPr>
        <w:t>）</w:t>
      </w:r>
      <w:r>
        <w:rPr>
          <w:sz w:val="20"/>
        </w:rPr>
        <w:t>国家强制性标准：</w:t>
      </w:r>
    </w:p>
    <w:p>
      <w:pPr>
        <w:pStyle w:val="null3"/>
        <w:ind w:firstLine="400"/>
      </w:pPr>
      <w:r>
        <w:rPr>
          <w:sz w:val="20"/>
        </w:rPr>
        <w:t>1</w:t>
      </w:r>
      <w:r>
        <w:rPr>
          <w:sz w:val="20"/>
        </w:rPr>
        <w:t>）</w:t>
      </w:r>
      <w:r>
        <w:rPr>
          <w:sz w:val="20"/>
        </w:rPr>
        <w:t>尼龙脚套</w:t>
      </w:r>
      <w:r>
        <w:rPr>
          <w:sz w:val="20"/>
        </w:rPr>
        <w:t>符合</w:t>
      </w:r>
      <w:r>
        <w:rPr>
          <w:sz w:val="20"/>
        </w:rPr>
        <w:t>：</w:t>
      </w:r>
      <w:r>
        <w:rPr>
          <w:sz w:val="20"/>
        </w:rPr>
        <w:t>GB 4806.7-2023</w:t>
      </w:r>
      <w:r>
        <w:rPr>
          <w:sz w:val="20"/>
        </w:rPr>
        <w:t>检测标准，</w:t>
      </w:r>
      <w:r>
        <w:rPr>
          <w:sz w:val="20"/>
        </w:rPr>
        <w:t>检测内容为：</w:t>
      </w:r>
      <w:r>
        <w:rPr>
          <w:sz w:val="20"/>
        </w:rPr>
        <w:t>食品接触安全</w:t>
      </w:r>
      <w:r>
        <w:rPr>
          <w:sz w:val="20"/>
        </w:rPr>
        <w:t>；</w:t>
      </w:r>
    </w:p>
    <w:p>
      <w:pPr>
        <w:pStyle w:val="null3"/>
        <w:ind w:firstLine="400"/>
        <w:jc w:val="both"/>
      </w:pPr>
      <w:r>
        <w:rPr>
          <w:sz w:val="20"/>
        </w:rPr>
        <w:t>（</w:t>
      </w:r>
      <w:r>
        <w:rPr>
          <w:sz w:val="20"/>
        </w:rPr>
        <w:t>2）国家推荐标准及行业推荐标准：</w:t>
      </w:r>
    </w:p>
    <w:p>
      <w:pPr>
        <w:pStyle w:val="null3"/>
        <w:ind w:firstLine="400"/>
        <w:jc w:val="both"/>
      </w:pPr>
      <w:r>
        <w:rPr>
          <w:sz w:val="20"/>
        </w:rPr>
        <w:t>1</w:t>
      </w:r>
      <w:r>
        <w:rPr>
          <w:sz w:val="20"/>
        </w:rPr>
        <w:t>）床立柱检验依据包括但不限于：</w:t>
      </w:r>
      <w:r>
        <w:rPr>
          <w:sz w:val="20"/>
        </w:rPr>
        <w:t>QB/T 3828-1999</w:t>
      </w:r>
      <w:r>
        <w:rPr>
          <w:sz w:val="20"/>
        </w:rPr>
        <w:t>标准，</w:t>
      </w:r>
      <w:r>
        <w:rPr>
          <w:sz w:val="20"/>
        </w:rPr>
        <w:t>检测结果</w:t>
      </w:r>
      <w:r>
        <w:rPr>
          <w:sz w:val="20"/>
        </w:rPr>
        <w:t>①</w:t>
      </w:r>
      <w:r>
        <w:rPr>
          <w:sz w:val="20"/>
        </w:rPr>
        <w:t>镀（涂）层对基体的保护等级（检测结果）</w:t>
      </w:r>
      <w:r>
        <w:rPr>
          <w:sz w:val="20"/>
        </w:rPr>
        <w:t>≥9级，</w:t>
      </w:r>
      <w:r>
        <w:rPr>
          <w:sz w:val="20"/>
        </w:rPr>
        <w:t>②</w:t>
      </w:r>
      <w:r>
        <w:rPr>
          <w:sz w:val="20"/>
        </w:rPr>
        <w:t>镀（涂）层本身耐腐蚀等级（检测结果）</w:t>
      </w:r>
      <w:r>
        <w:rPr>
          <w:sz w:val="20"/>
        </w:rPr>
        <w:t>≥9级；</w:t>
      </w:r>
    </w:p>
    <w:p>
      <w:pPr>
        <w:pStyle w:val="null3"/>
        <w:ind w:firstLine="400"/>
        <w:jc w:val="both"/>
      </w:pPr>
      <w:r>
        <w:rPr>
          <w:sz w:val="20"/>
        </w:rPr>
        <w:t>2</w:t>
      </w:r>
      <w:r>
        <w:rPr>
          <w:sz w:val="20"/>
        </w:rPr>
        <w:t>）床横梁检验依据包括但不限于：</w:t>
      </w:r>
      <w:r>
        <w:rPr>
          <w:sz w:val="20"/>
        </w:rPr>
        <w:t>QB/T 3828-1999</w:t>
      </w:r>
      <w:r>
        <w:rPr>
          <w:sz w:val="20"/>
        </w:rPr>
        <w:t>标准，检测</w:t>
      </w:r>
      <w:r>
        <w:rPr>
          <w:sz w:val="20"/>
        </w:rPr>
        <w:t>结果</w:t>
      </w:r>
      <w:r>
        <w:rPr>
          <w:sz w:val="20"/>
        </w:rPr>
        <w:t>①</w:t>
      </w:r>
      <w:r>
        <w:rPr>
          <w:sz w:val="20"/>
        </w:rPr>
        <w:t>镀（涂）层对基体的保护等级（检测结果）</w:t>
      </w:r>
      <w:r>
        <w:rPr>
          <w:sz w:val="20"/>
        </w:rPr>
        <w:t>≥9级，</w:t>
      </w:r>
      <w:r>
        <w:rPr>
          <w:sz w:val="20"/>
        </w:rPr>
        <w:t>②</w:t>
      </w:r>
      <w:r>
        <w:rPr>
          <w:sz w:val="20"/>
        </w:rPr>
        <w:t>镀（涂）层本身耐腐蚀等级（检测结果）</w:t>
      </w:r>
      <w:r>
        <w:rPr>
          <w:sz w:val="20"/>
        </w:rPr>
        <w:t>≥9级；</w:t>
      </w:r>
    </w:p>
    <w:p>
      <w:pPr>
        <w:pStyle w:val="null3"/>
        <w:ind w:firstLine="400"/>
        <w:jc w:val="both"/>
      </w:pPr>
      <w:r>
        <w:rPr>
          <w:sz w:val="20"/>
        </w:rPr>
        <w:t>3</w:t>
      </w:r>
      <w:r>
        <w:rPr>
          <w:sz w:val="20"/>
        </w:rPr>
        <w:t>）</w:t>
      </w:r>
      <w:r>
        <w:rPr>
          <w:sz w:val="20"/>
        </w:rPr>
        <w:t>尼龙脚套</w:t>
      </w:r>
      <w:r>
        <w:rPr>
          <w:sz w:val="20"/>
        </w:rPr>
        <w:t>检验依据包括但不限于：</w:t>
      </w:r>
      <w:r>
        <w:rPr>
          <w:sz w:val="20"/>
        </w:rPr>
        <w:t>GB/T 1040.2-2023、GB/T 9341-2008、GB/T 1843-2008、GB/T 12006.1-2009、GB/T 11547-2008、GB/T 2408-2021、GB 4806.7-2023</w:t>
      </w:r>
      <w:r>
        <w:rPr>
          <w:sz w:val="20"/>
        </w:rPr>
        <w:t>检测标准，检测项目包括：</w:t>
      </w:r>
      <w:r>
        <w:rPr>
          <w:sz w:val="20"/>
        </w:rPr>
        <w:t>①</w:t>
      </w:r>
      <w:r>
        <w:rPr>
          <w:sz w:val="20"/>
        </w:rPr>
        <w:t>力学性能：</w:t>
      </w:r>
      <w:r>
        <w:rPr>
          <w:sz w:val="20"/>
        </w:rPr>
        <w:t>拉伸强度</w:t>
      </w:r>
      <w:r>
        <w:rPr>
          <w:sz w:val="20"/>
        </w:rPr>
        <w:t>不低于</w:t>
      </w:r>
      <w:r>
        <w:rPr>
          <w:sz w:val="20"/>
        </w:rPr>
        <w:t>40MPa、</w:t>
      </w:r>
      <w:r>
        <w:rPr>
          <w:sz w:val="20"/>
        </w:rPr>
        <w:t>伸长率</w:t>
      </w:r>
      <w:r>
        <w:rPr>
          <w:sz w:val="20"/>
        </w:rPr>
        <w:t>不低于</w:t>
      </w:r>
      <w:r>
        <w:rPr>
          <w:sz w:val="20"/>
        </w:rPr>
        <w:t>10%、</w:t>
      </w:r>
      <w:r>
        <w:rPr>
          <w:sz w:val="20"/>
        </w:rPr>
        <w:t>弯曲强度</w:t>
      </w:r>
      <w:r>
        <w:rPr>
          <w:sz w:val="20"/>
        </w:rPr>
        <w:t>不低于</w:t>
      </w:r>
      <w:r>
        <w:rPr>
          <w:sz w:val="20"/>
        </w:rPr>
        <w:t>55MPa、弯曲</w:t>
      </w:r>
      <w:r>
        <w:rPr>
          <w:sz w:val="20"/>
        </w:rPr>
        <w:t>模量</w:t>
      </w:r>
      <w:r>
        <w:rPr>
          <w:sz w:val="20"/>
        </w:rPr>
        <w:t>不低于</w:t>
      </w:r>
      <w:r>
        <w:rPr>
          <w:sz w:val="20"/>
        </w:rPr>
        <w:t>1800MPa、缺口</w:t>
      </w:r>
      <w:r>
        <w:rPr>
          <w:sz w:val="20"/>
        </w:rPr>
        <w:t>冲击强度</w:t>
      </w:r>
      <w:r>
        <w:rPr>
          <w:sz w:val="20"/>
        </w:rPr>
        <w:t>不低于</w:t>
      </w:r>
      <w:r>
        <w:rPr>
          <w:sz w:val="20"/>
        </w:rPr>
        <w:t>5</w:t>
      </w:r>
      <w:r>
        <w:rPr>
          <w:sz w:val="20"/>
        </w:rPr>
        <w:t xml:space="preserve"> </w:t>
      </w:r>
      <w:r>
        <w:rPr>
          <w:sz w:val="20"/>
        </w:rPr>
        <w:t>kJ/m²</w:t>
      </w:r>
      <w:r>
        <w:rPr>
          <w:sz w:val="20"/>
        </w:rPr>
        <w:t>。</w:t>
      </w:r>
      <w:r>
        <w:rPr>
          <w:sz w:val="20"/>
        </w:rPr>
        <w:t>②</w:t>
      </w:r>
      <w:r>
        <w:rPr>
          <w:sz w:val="20"/>
        </w:rPr>
        <w:t>化学性能：</w:t>
      </w:r>
      <w:r>
        <w:rPr>
          <w:sz w:val="20"/>
        </w:rPr>
        <w:t>耐液体化学品</w:t>
      </w:r>
      <w:r>
        <w:rPr>
          <w:sz w:val="20"/>
        </w:rPr>
        <w:t>浸泡</w:t>
      </w:r>
      <w:r>
        <w:rPr>
          <w:sz w:val="20"/>
        </w:rPr>
        <w:t>于</w:t>
      </w:r>
      <w:r>
        <w:rPr>
          <w:sz w:val="20"/>
        </w:rPr>
        <w:t>3% 乙酸（模拟食醋）、植物油、中性洗涤剂，</w:t>
      </w:r>
      <w:r>
        <w:rPr>
          <w:sz w:val="20"/>
        </w:rPr>
        <w:t>168</w:t>
      </w:r>
      <w:r>
        <w:rPr>
          <w:sz w:val="20"/>
        </w:rPr>
        <w:t>h</w:t>
      </w:r>
      <w:r>
        <w:rPr>
          <w:sz w:val="20"/>
        </w:rPr>
        <w:t>，</w:t>
      </w:r>
      <w:r>
        <w:rPr>
          <w:sz w:val="20"/>
        </w:rPr>
        <w:t>表面状态无腐蚀、分层、起泡</w:t>
      </w:r>
      <w:r>
        <w:rPr>
          <w:sz w:val="20"/>
        </w:rPr>
        <w:t>、成分</w:t>
      </w:r>
      <w:r>
        <w:rPr>
          <w:sz w:val="20"/>
        </w:rPr>
        <w:t>/ 残留单体</w:t>
      </w:r>
      <w:r>
        <w:rPr>
          <w:sz w:val="20"/>
        </w:rPr>
        <w:t>黏数</w:t>
      </w:r>
      <w:r>
        <w:rPr>
          <w:sz w:val="20"/>
        </w:rPr>
        <w:t>为</w:t>
      </w:r>
      <w:r>
        <w:rPr>
          <w:sz w:val="20"/>
        </w:rPr>
        <w:t>130~</w:t>
      </w:r>
      <w:r>
        <w:rPr>
          <w:sz w:val="20"/>
        </w:rPr>
        <w:t>160 mL/g</w:t>
      </w:r>
      <w:r>
        <w:rPr>
          <w:sz w:val="20"/>
        </w:rPr>
        <w:t>。</w:t>
      </w:r>
      <w:r>
        <w:rPr>
          <w:sz w:val="20"/>
        </w:rPr>
        <w:t>③安全性能：燃烧性能等级V-1或以上</w:t>
      </w:r>
      <w:r>
        <w:rPr>
          <w:sz w:val="20"/>
        </w:rPr>
        <w:t>。</w:t>
      </w:r>
    </w:p>
    <w:p>
      <w:pPr>
        <w:pStyle w:val="null3"/>
        <w:ind w:firstLine="400"/>
        <w:jc w:val="both"/>
      </w:pPr>
      <w:r>
        <w:rPr>
          <w:sz w:val="20"/>
        </w:rPr>
        <w:t>4</w:t>
      </w:r>
      <w:r>
        <w:rPr>
          <w:sz w:val="20"/>
        </w:rPr>
        <w:t>）床前护栏</w:t>
      </w:r>
      <w:r>
        <w:rPr>
          <w:sz w:val="20"/>
        </w:rPr>
        <w:t>检验依据包括但不限于：</w:t>
      </w:r>
      <w:r>
        <w:rPr>
          <w:sz w:val="20"/>
        </w:rPr>
        <w:t>GB/T 228.1-2021</w:t>
      </w:r>
      <w:r>
        <w:rPr>
          <w:sz w:val="20"/>
        </w:rPr>
        <w:t>、</w:t>
      </w:r>
      <w:r>
        <w:rPr/>
        <w:t>GB/T 3325-2024</w:t>
      </w:r>
      <w:r>
        <w:rPr>
          <w:sz w:val="20"/>
        </w:rPr>
        <w:t>标准；检测</w:t>
      </w:r>
      <w:r>
        <w:rPr>
          <w:sz w:val="20"/>
        </w:rPr>
        <w:t>结果</w:t>
      </w:r>
      <w:r>
        <w:rPr>
          <w:sz w:val="20"/>
        </w:rPr>
        <w:t>①产品表面涂饰层/覆面材料理化性能：金属喷漆（塑）涂层（硬度、耐腐蚀、附着力）；单项结论为合格或符合，②屈服强度检测为合格或符合。</w:t>
      </w:r>
    </w:p>
    <w:p>
      <w:pPr>
        <w:pStyle w:val="null3"/>
        <w:ind w:firstLine="400"/>
        <w:jc w:val="both"/>
      </w:pPr>
      <w:r>
        <w:rPr>
          <w:sz w:val="20"/>
        </w:rPr>
        <w:t>3.投标人应提供符合国家标准或行业标准要求的产品（包括但不限于：书架、衣柜、公寓床、学生椅（公寓椅）），具体参数要求如下：</w:t>
      </w:r>
    </w:p>
    <w:p>
      <w:pPr>
        <w:pStyle w:val="null3"/>
        <w:ind w:firstLine="400"/>
        <w:jc w:val="left"/>
      </w:pPr>
      <w:r>
        <w:rPr>
          <w:sz w:val="20"/>
        </w:rPr>
        <w:t>（</w:t>
      </w:r>
      <w:r>
        <w:rPr>
          <w:sz w:val="20"/>
        </w:rPr>
        <w:t>1</w:t>
      </w:r>
      <w:r>
        <w:rPr>
          <w:sz w:val="20"/>
        </w:rPr>
        <w:t>）</w:t>
      </w:r>
      <w:r>
        <w:rPr>
          <w:sz w:val="20"/>
        </w:rPr>
        <w:t>国家强制性标准：</w:t>
      </w:r>
    </w:p>
    <w:p>
      <w:pPr>
        <w:pStyle w:val="null3"/>
        <w:ind w:firstLine="400"/>
        <w:jc w:val="both"/>
      </w:pPr>
      <w:r>
        <w:rPr>
          <w:sz w:val="20"/>
        </w:rPr>
        <w:t>1</w:t>
      </w:r>
      <w:r>
        <w:rPr>
          <w:sz w:val="20"/>
        </w:rPr>
        <w:t>）公寓床检验</w:t>
      </w:r>
      <w:r>
        <w:rPr>
          <w:sz w:val="20"/>
        </w:rPr>
        <w:t>符合</w:t>
      </w:r>
      <w:r>
        <w:rPr>
          <w:sz w:val="20"/>
        </w:rPr>
        <w:t>：</w:t>
      </w:r>
      <w:r>
        <w:rPr>
          <w:sz w:val="20"/>
        </w:rPr>
        <w:t>GB18584-2</w:t>
      </w:r>
      <w:r>
        <w:rPr>
          <w:sz w:val="20"/>
        </w:rPr>
        <w:t>024检测</w:t>
      </w:r>
      <w:r>
        <w:rPr>
          <w:sz w:val="20"/>
        </w:rPr>
        <w:t>标准，</w:t>
      </w:r>
      <w:r>
        <w:rPr>
          <w:sz w:val="20"/>
        </w:rPr>
        <w:t>检测内容为：可迁移元素均未检出（</w:t>
      </w:r>
      <w:r>
        <w:rPr>
          <w:sz w:val="20"/>
        </w:rPr>
        <w:t>Pb、Cd、Cr、Hg），邻苯二甲酸酯（DBP、BBP、DEHP、DNOP、DINP、DIDP）均合格。</w:t>
      </w:r>
    </w:p>
    <w:p>
      <w:pPr>
        <w:pStyle w:val="null3"/>
        <w:ind w:firstLine="400"/>
      </w:pPr>
      <w:r>
        <w:rPr>
          <w:sz w:val="20"/>
        </w:rPr>
        <w:t>2</w:t>
      </w:r>
      <w:r>
        <w:rPr>
          <w:sz w:val="20"/>
        </w:rPr>
        <w:t>）学生椅（公寓椅）检验</w:t>
      </w:r>
      <w:r>
        <w:rPr>
          <w:sz w:val="20"/>
        </w:rPr>
        <w:t>符合</w:t>
      </w:r>
      <w:r>
        <w:rPr>
          <w:sz w:val="20"/>
        </w:rPr>
        <w:t>：</w:t>
      </w:r>
      <w:r>
        <w:rPr>
          <w:sz w:val="20"/>
        </w:rPr>
        <w:t>GB18584-2</w:t>
      </w:r>
      <w:r>
        <w:rPr>
          <w:sz w:val="20"/>
        </w:rPr>
        <w:t>024检测</w:t>
      </w:r>
      <w:r>
        <w:rPr>
          <w:sz w:val="20"/>
        </w:rPr>
        <w:t>标准，</w:t>
      </w:r>
      <w:r>
        <w:rPr>
          <w:sz w:val="20"/>
        </w:rPr>
        <w:t>检测内容为：可迁移元素均未检出（</w:t>
      </w:r>
      <w:r>
        <w:rPr>
          <w:sz w:val="20"/>
        </w:rPr>
        <w:t>Pb、Cd、Cr、Hg），邻苯二甲酸酯（DBP、BBP、DEHP、DNOP、DINP、DIDP）均合格。</w:t>
      </w:r>
    </w:p>
    <w:p>
      <w:pPr>
        <w:pStyle w:val="null3"/>
        <w:ind w:firstLine="400"/>
        <w:jc w:val="both"/>
      </w:pPr>
      <w:r>
        <w:rPr>
          <w:sz w:val="20"/>
        </w:rPr>
        <w:t>（</w:t>
      </w:r>
      <w:r>
        <w:rPr>
          <w:sz w:val="20"/>
        </w:rPr>
        <w:t>2）国家推荐标准及行业推荐标准：</w:t>
      </w:r>
    </w:p>
    <w:p>
      <w:pPr>
        <w:pStyle w:val="null3"/>
        <w:ind w:firstLine="400"/>
        <w:jc w:val="both"/>
      </w:pPr>
      <w:r>
        <w:rPr>
          <w:sz w:val="20"/>
        </w:rPr>
        <w:t>1</w:t>
      </w:r>
      <w:r>
        <w:rPr>
          <w:sz w:val="20"/>
        </w:rPr>
        <w:t>）</w:t>
      </w:r>
      <w:r>
        <w:rPr>
          <w:sz w:val="20"/>
        </w:rPr>
        <w:t>书架检验依据包括但不限于：</w:t>
      </w:r>
      <w:r>
        <w:rPr>
          <w:sz w:val="20"/>
        </w:rPr>
        <w:t>QB/T 3828-1999</w:t>
      </w:r>
      <w:r>
        <w:rPr>
          <w:sz w:val="20"/>
        </w:rPr>
        <w:t>、</w:t>
      </w:r>
      <w:r>
        <w:rPr>
          <w:sz w:val="20"/>
        </w:rPr>
        <w:t>GB/T 13667.1-2015标准；检测</w:t>
      </w:r>
      <w:r>
        <w:rPr>
          <w:sz w:val="20"/>
        </w:rPr>
        <w:t>结果</w:t>
      </w:r>
      <w:r>
        <w:rPr>
          <w:sz w:val="20"/>
        </w:rPr>
        <w:t>①</w:t>
      </w:r>
      <w:r>
        <w:rPr>
          <w:sz w:val="20"/>
        </w:rPr>
        <w:t>有害物质限量（产品涂层和覆面层中可溶性重金属）：可溶性铅、可溶性镉、可溶性铬、可溶性汞均未检出。</w:t>
      </w:r>
      <w:r>
        <w:rPr>
          <w:sz w:val="20"/>
        </w:rPr>
        <w:t>②</w:t>
      </w:r>
      <w:r>
        <w:rPr>
          <w:sz w:val="20"/>
        </w:rPr>
        <w:t>搁板弯曲：</w:t>
      </w:r>
      <w:r>
        <w:rPr>
          <w:sz w:val="20"/>
        </w:rPr>
        <w:t>单项结论为合格或符合</w:t>
      </w:r>
      <w:r>
        <w:rPr>
          <w:sz w:val="20"/>
        </w:rPr>
        <w:t>。</w:t>
      </w:r>
      <w:r>
        <w:rPr>
          <w:sz w:val="20"/>
        </w:rPr>
        <w:t>③</w:t>
      </w:r>
      <w:r>
        <w:rPr>
          <w:sz w:val="20"/>
        </w:rPr>
        <w:t>镀（涂）层对基体的保护等级（检测结果）</w:t>
      </w:r>
      <w:r>
        <w:rPr>
          <w:sz w:val="20"/>
        </w:rPr>
        <w:t>≥9级</w:t>
      </w:r>
      <w:r>
        <w:rPr>
          <w:sz w:val="20"/>
        </w:rPr>
        <w:t>，</w:t>
      </w:r>
      <w:r>
        <w:rPr>
          <w:sz w:val="20"/>
        </w:rPr>
        <w:t>④</w:t>
      </w:r>
      <w:r>
        <w:rPr>
          <w:sz w:val="20"/>
        </w:rPr>
        <w:t>镀（涂）层本身耐腐蚀等级（检测结果）</w:t>
      </w:r>
      <w:r>
        <w:rPr>
          <w:sz w:val="20"/>
        </w:rPr>
        <w:t>≥9级；</w:t>
      </w:r>
    </w:p>
    <w:p>
      <w:pPr>
        <w:pStyle w:val="null3"/>
        <w:ind w:firstLine="400"/>
        <w:jc w:val="both"/>
      </w:pPr>
      <w:r>
        <w:rPr>
          <w:sz w:val="20"/>
        </w:rPr>
        <w:t>2</w:t>
      </w:r>
      <w:r>
        <w:rPr>
          <w:sz w:val="20"/>
        </w:rPr>
        <w:t>）</w:t>
      </w:r>
      <w:r>
        <w:rPr>
          <w:sz w:val="20"/>
        </w:rPr>
        <w:t>衣柜检验依据包括但不限于：</w:t>
      </w:r>
      <w:r>
        <w:rPr>
          <w:sz w:val="20"/>
        </w:rPr>
        <w:t>GB/T 35607-2024、GB/T 3325-2024标准，检测结果①金属喷漆（塑）涂层：硬度，冲击强度，耐腐蚀，附着力，检测结果均为符合或合格。②搁板定位试验，搁板支撑件强度试验，顶板和底板的持续加载试验，顶板和底板静载荷试验，开门（或拉门）垂直加载试验，开门（或拉门）水平加载试验，开门（或拉门）耐久性试验，挂衣棍支撑件强度试验，检测结果均为符合或合格。③表面涂层可迁移元素:铅（Pb）；镉（Cd）；铬（Cr）；汞（Hg）；砷（As）；锑（Sb）；钡（Ba）；硒（Se），检测结果均为符合或合格。</w:t>
      </w:r>
    </w:p>
    <w:p>
      <w:pPr>
        <w:pStyle w:val="null3"/>
        <w:ind w:firstLine="400"/>
        <w:jc w:val="both"/>
      </w:pPr>
      <w:r>
        <w:rPr>
          <w:sz w:val="20"/>
        </w:rPr>
        <w:t>3）公寓床检验依据包括但不限于：QB/T 2741-2013标准，检测结果①外观要求：金属件外观要求（管材、焊接件、喷涂层）、木制件外观要求（虫蛀材、贯通裂缝、腐朽材、节子、封边处理、斜纹材、倒棱、表面装饰层、其他外观要求），以上检测内容单项评价为合格，②理化性能：含水率、饰面人造板理化性能（封边条胶合强度）、木质件表面涂层/覆面（抗冲击）、金属件表面理化性能（冲击强度、附着力、耐湿热、耐腐蚀），以上检测内容单项评价为合格。③力学性能：桌类、柜类、床类、书架、扶梯、安全栏，以上检测内容单项评价为合格。</w:t>
      </w:r>
    </w:p>
    <w:p>
      <w:pPr>
        <w:pStyle w:val="null3"/>
        <w:ind w:firstLine="400"/>
      </w:pPr>
      <w:r>
        <w:rPr>
          <w:sz w:val="20"/>
        </w:rPr>
        <w:t>4）学生椅（公寓椅）检验依据包括但不限于：GB/T32487-2016标准，检测结果①理化性能：塑料件（内冷热循环、硬度），检测结果均为符合或合格。②力学性能：椅凳类强度和耐久性、椅凳类稳定性，单项结论为合格或符合。</w:t>
      </w:r>
    </w:p>
    <w:p>
      <w:pPr>
        <w:pStyle w:val="null3"/>
        <w:ind w:firstLine="400"/>
        <w:jc w:val="left"/>
      </w:pPr>
      <w:r>
        <w:rPr>
          <w:sz w:val="20"/>
        </w:rPr>
        <w:t>4.</w:t>
      </w:r>
      <w:r>
        <w:rPr>
          <w:sz w:val="20"/>
        </w:rPr>
        <w:t>本项目技术参数要求中如有出现工艺、材料、设备或参照的品牌仅为方便描述，没有限制性，投标人可以在其提供的文件资料中选用替代标准，但这些替代标准</w:t>
      </w:r>
      <w:r>
        <w:rPr>
          <w:sz w:val="20"/>
        </w:rPr>
        <w:t>需</w:t>
      </w:r>
      <w:r>
        <w:rPr>
          <w:sz w:val="20"/>
        </w:rPr>
        <w:t>优于或相当于本采购需求书的标准。所有选型货物</w:t>
      </w:r>
      <w:r>
        <w:rPr>
          <w:sz w:val="20"/>
        </w:rPr>
        <w:t>需</w:t>
      </w:r>
      <w:r>
        <w:rPr>
          <w:sz w:val="20"/>
        </w:rPr>
        <w:t>具有较强的</w:t>
      </w:r>
      <w:r>
        <w:rPr>
          <w:sz w:val="20"/>
        </w:rPr>
        <w:t>可靠性</w:t>
      </w:r>
      <w:r>
        <w:rPr>
          <w:sz w:val="20"/>
        </w:rPr>
        <w:t>、安全性和可扩展性，提供技术先进、安全稳定高质量的同时，应能充分反映出新的先进技术或工艺、性能、价格带来的优势。整个项目均应符合国内的相关标准。</w:t>
      </w:r>
    </w:p>
    <w:p>
      <w:pPr>
        <w:pStyle w:val="null3"/>
        <w:ind w:firstLine="400"/>
        <w:jc w:val="left"/>
      </w:pPr>
      <w:r>
        <w:rPr>
          <w:sz w:val="20"/>
        </w:rPr>
        <w:t>5.</w:t>
      </w:r>
      <w:r>
        <w:rPr>
          <w:sz w:val="20"/>
        </w:rPr>
        <w:t>本需求书中提供的各项家具设计图仅为参考图片（参考图片中尺寸、要求与详细参数明细描述不一致的，以详细参数明细描述为准）。</w:t>
      </w:r>
    </w:p>
    <w:p>
      <w:pPr>
        <w:pStyle w:val="null3"/>
        <w:ind w:firstLine="400"/>
        <w:jc w:val="left"/>
      </w:pPr>
      <w:r>
        <w:rPr>
          <w:sz w:val="20"/>
        </w:rPr>
        <w:t>6.</w:t>
      </w:r>
      <w:r>
        <w:rPr>
          <w:sz w:val="20"/>
        </w:rPr>
        <w:t>投标人没有在投标文件中注明偏离（文字说明或在响应表注明）的参数、配置、条款视为被投标人完全接受。</w:t>
      </w:r>
    </w:p>
    <w:p>
      <w:pPr>
        <w:pStyle w:val="null3"/>
        <w:ind w:firstLine="400"/>
        <w:jc w:val="left"/>
      </w:pPr>
      <w:r>
        <w:rPr>
          <w:sz w:val="20"/>
        </w:rPr>
        <w:t>7.</w:t>
      </w:r>
      <w:r>
        <w:rPr>
          <w:sz w:val="20"/>
        </w:rPr>
        <w:t>本需求书具体技术参数要求中技术指标要求的各项标准，如高于或等于国家标准的，按技术指标中要求的标准为准；如低于国家标准的，应以国家标准为准。</w:t>
      </w:r>
    </w:p>
    <w:p>
      <w:pPr>
        <w:pStyle w:val="null3"/>
      </w:pPr>
      <w:r>
        <w:rPr>
          <w:sz w:val="20"/>
          <w:b/>
        </w:rPr>
        <w:t>（七）投标样品要求</w:t>
      </w:r>
    </w:p>
    <w:p>
      <w:pPr>
        <w:pStyle w:val="null3"/>
        <w:ind w:firstLine="400"/>
      </w:pPr>
      <w:r>
        <w:rPr>
          <w:sz w:val="20"/>
        </w:rPr>
        <w:t>1.投标人在递交投标文件</w:t>
      </w:r>
      <w:r>
        <w:rPr>
          <w:sz w:val="20"/>
        </w:rPr>
        <w:t>前</w:t>
      </w:r>
      <w:r>
        <w:rPr>
          <w:sz w:val="20"/>
        </w:rPr>
        <w:t>须</w:t>
      </w:r>
      <w:r>
        <w:rPr>
          <w:sz w:val="20"/>
        </w:rPr>
        <w:t>按照招标文件规定</w:t>
      </w:r>
      <w:r>
        <w:rPr>
          <w:sz w:val="20"/>
        </w:rPr>
        <w:t>提交以下样品（逾期送达的投标样品将拒绝接收）：</w:t>
      </w:r>
    </w:p>
    <w:tbl>
      <w:tblPr>
        <w:tblW w:w="0" w:type="auto"/>
        <w:tblBorders>
          <w:top w:val="none" w:color="000000" w:sz="4"/>
          <w:left w:val="none" w:color="000000" w:sz="4"/>
          <w:bottom w:val="none" w:color="000000" w:sz="4"/>
          <w:right w:val="none" w:color="000000" w:sz="4"/>
          <w:insideH w:val="none"/>
          <w:insideV w:val="none"/>
        </w:tblBorders>
      </w:tblPr>
      <w:tblGrid>
        <w:gridCol w:w="856"/>
        <w:gridCol w:w="1977"/>
        <w:gridCol w:w="3955"/>
        <w:gridCol w:w="1515"/>
      </w:tblGrid>
      <w:tr>
        <w:tc>
          <w:tcPr>
            <w:tcW w:type="dxa" w:w="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9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样品名称</w:t>
            </w:r>
          </w:p>
        </w:tc>
        <w:tc>
          <w:tcPr>
            <w:tcW w:type="dxa" w:w="3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提交要求、数量</w:t>
            </w:r>
          </w:p>
        </w:tc>
        <w:tc>
          <w:tcPr>
            <w:tcW w:type="dxa" w:w="1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公寓</w:t>
            </w:r>
            <w:r>
              <w:rPr>
                <w:sz w:val="20"/>
              </w:rPr>
              <w:t>组合床具</w:t>
            </w:r>
            <w:r>
              <w:rPr>
                <w:sz w:val="20"/>
              </w:rPr>
              <w:t>（单人位</w:t>
            </w:r>
            <w:r>
              <w:rPr>
                <w:sz w:val="20"/>
              </w:rPr>
              <w:t>走梯</w:t>
            </w:r>
            <w:r>
              <w:rPr>
                <w:sz w:val="20"/>
              </w:rPr>
              <w:t>）</w:t>
            </w:r>
            <w:r>
              <w:rPr>
                <w:sz w:val="20"/>
              </w:rPr>
              <w:t>+学生椅</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1:1实物</w:t>
            </w:r>
            <w:r>
              <w:rPr>
                <w:sz w:val="20"/>
              </w:rPr>
              <w:t>成品</w:t>
            </w:r>
            <w:r>
              <w:rPr>
                <w:sz w:val="20"/>
              </w:rPr>
              <w:t>一套（含</w:t>
            </w:r>
            <w:r>
              <w:rPr>
                <w:sz w:val="20"/>
              </w:rPr>
              <w:t>公寓床</w:t>
            </w:r>
            <w:r>
              <w:rPr>
                <w:sz w:val="20"/>
              </w:rPr>
              <w:t>床架</w:t>
            </w:r>
            <w:r>
              <w:rPr>
                <w:sz w:val="20"/>
              </w:rPr>
              <w:t>、</w:t>
            </w:r>
            <w:r>
              <w:rPr>
                <w:sz w:val="20"/>
              </w:rPr>
              <w:t>蚊帐杆、更衣柜、</w:t>
            </w:r>
            <w:r>
              <w:rPr>
                <w:sz w:val="20"/>
              </w:rPr>
              <w:t>书桌</w:t>
            </w:r>
            <w:r>
              <w:rPr>
                <w:sz w:val="20"/>
              </w:rPr>
              <w:t>（</w:t>
            </w:r>
            <w:r>
              <w:rPr>
                <w:sz w:val="20"/>
              </w:rPr>
              <w:t>含书架</w:t>
            </w:r>
            <w:r>
              <w:rPr>
                <w:sz w:val="20"/>
              </w:rPr>
              <w:t>））、</w:t>
            </w:r>
            <w:r>
              <w:rPr>
                <w:sz w:val="20"/>
              </w:rPr>
              <w:t>学生椅</w:t>
            </w:r>
          </w:p>
        </w:tc>
        <w:tc>
          <w:tcPr>
            <w:tcW w:type="dxa" w:w="1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样板按需求书要求制作</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材料小样</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r>
              <w:rPr>
                <w:sz w:val="20"/>
              </w:rPr>
              <w:t>1）床立柱小样，1段，规格：长100mm（配置</w:t>
            </w:r>
            <w:r>
              <w:rPr>
                <w:sz w:val="20"/>
              </w:rPr>
              <w:t>尼龙</w:t>
            </w:r>
            <w:r>
              <w:rPr>
                <w:sz w:val="20"/>
              </w:rPr>
              <w:t>塑料</w:t>
            </w:r>
            <w:r>
              <w:rPr>
                <w:sz w:val="20"/>
              </w:rPr>
              <w:t>防滑胶</w:t>
            </w:r>
            <w:r>
              <w:rPr>
                <w:sz w:val="20"/>
              </w:rPr>
              <w:t>塞</w:t>
            </w:r>
            <w:r>
              <w:rPr>
                <w:sz w:val="20"/>
              </w:rPr>
              <w:t>+蚊帐杆胶塞）</w:t>
            </w:r>
          </w:p>
          <w:p>
            <w:pPr>
              <w:pStyle w:val="null3"/>
              <w:jc w:val="both"/>
            </w:pPr>
            <w:r>
              <w:rPr>
                <w:sz w:val="20"/>
              </w:rPr>
              <w:t>（</w:t>
            </w:r>
            <w:r>
              <w:rPr>
                <w:sz w:val="20"/>
              </w:rPr>
              <w:t>2）楼梯脚踏板小样，1段，规格：长300mm</w:t>
            </w:r>
          </w:p>
          <w:p>
            <w:pPr>
              <w:pStyle w:val="null3"/>
              <w:jc w:val="both"/>
            </w:pPr>
            <w:r>
              <w:rPr>
                <w:sz w:val="20"/>
              </w:rPr>
              <w:t>（</w:t>
            </w:r>
            <w:r>
              <w:rPr>
                <w:sz w:val="20"/>
              </w:rPr>
              <w:t>3）立柱横梁小样，1段，规格：长500mm</w:t>
            </w:r>
          </w:p>
          <w:p>
            <w:pPr>
              <w:pStyle w:val="null3"/>
              <w:jc w:val="both"/>
            </w:pPr>
            <w:r>
              <w:rPr>
                <w:sz w:val="20"/>
              </w:rPr>
              <w:t>（</w:t>
            </w:r>
            <w:r>
              <w:rPr>
                <w:sz w:val="20"/>
              </w:rPr>
              <w:t>4）桌面板小样（含加强管），1段，规格：100*100mm</w:t>
            </w:r>
          </w:p>
          <w:p>
            <w:pPr>
              <w:pStyle w:val="null3"/>
              <w:jc w:val="both"/>
            </w:pPr>
            <w:r>
              <w:rPr>
                <w:sz w:val="20"/>
              </w:rPr>
              <w:t>（</w:t>
            </w:r>
            <w:r>
              <w:rPr>
                <w:sz w:val="20"/>
              </w:rPr>
              <w:t>5）床板小样，1段，规格：100*100mm</w:t>
            </w:r>
          </w:p>
        </w:tc>
        <w:tc>
          <w:tcPr>
            <w:tcW w:type="dxa" w:w="1515"/>
            <w:vMerge/>
            <w:tcBorders>
              <w:top w:val="none" w:color="000000" w:sz="4"/>
              <w:left w:val="none" w:color="000000" w:sz="4"/>
              <w:bottom w:val="single" w:color="000000" w:sz="4"/>
              <w:right w:val="single" w:color="000000" w:sz="4"/>
            </w:tcBorders>
          </w:tcPr>
          <w:p/>
        </w:tc>
      </w:tr>
    </w:tbl>
    <w:p>
      <w:pPr>
        <w:pStyle w:val="null3"/>
        <w:ind w:firstLine="400"/>
        <w:jc w:val="both"/>
      </w:pPr>
      <w:r>
        <w:rPr>
          <w:sz w:val="20"/>
        </w:rPr>
        <w:t>2.样品提交要求:</w:t>
      </w:r>
    </w:p>
    <w:p>
      <w:pPr>
        <w:pStyle w:val="null3"/>
        <w:ind w:firstLine="400"/>
        <w:jc w:val="both"/>
      </w:pPr>
      <w:r>
        <w:rPr>
          <w:sz w:val="20"/>
        </w:rPr>
        <w:t>（</w:t>
      </w:r>
      <w:r>
        <w:rPr>
          <w:sz w:val="20"/>
        </w:rPr>
        <w:t>1）样品的各项技术质量指标标准应符合招标文件要求,少提交或不提交或未按要求提交将严重影响评审得分。</w:t>
      </w:r>
    </w:p>
    <w:p>
      <w:pPr>
        <w:pStyle w:val="null3"/>
        <w:ind w:firstLine="400"/>
        <w:jc w:val="both"/>
      </w:pPr>
      <w:r>
        <w:rPr>
          <w:sz w:val="20"/>
        </w:rPr>
        <w:t>（</w:t>
      </w:r>
      <w:r>
        <w:rPr>
          <w:sz w:val="20"/>
        </w:rPr>
        <w:t>2）每个样品外包装及内包装必须标识招标编号、项目名称、投标人名称及样品名称。</w:t>
      </w:r>
    </w:p>
    <w:p>
      <w:pPr>
        <w:pStyle w:val="null3"/>
        <w:ind w:firstLine="400"/>
        <w:jc w:val="both"/>
      </w:pPr>
      <w:r>
        <w:rPr>
          <w:sz w:val="20"/>
        </w:rPr>
        <w:t>（</w:t>
      </w:r>
      <w:r>
        <w:rPr>
          <w:sz w:val="20"/>
        </w:rPr>
        <w:t>3）投标样品须用纸皮或包装膜等密封包装提交且须为成型产品。</w:t>
      </w:r>
    </w:p>
    <w:p>
      <w:pPr>
        <w:pStyle w:val="null3"/>
        <w:ind w:firstLine="400"/>
        <w:jc w:val="both"/>
      </w:pPr>
      <w:r>
        <w:rPr>
          <w:sz w:val="20"/>
        </w:rPr>
        <w:t>（</w:t>
      </w:r>
      <w:r>
        <w:rPr>
          <w:sz w:val="20"/>
        </w:rPr>
        <w:t>4）投标人应在提交投标文件截止时间前将投标样品提交到采购代理机构，迟于提交投标文件截止时间提交的投标样品，采购代理机构不予收取。为便于样品摆放安排及安装，建议投标人可在提交投标文件截止时间前1个工作日提交投标样品。投标文件截止时间后不得再进行样品的安装。</w:t>
      </w:r>
    </w:p>
    <w:p>
      <w:pPr>
        <w:pStyle w:val="null3"/>
        <w:ind w:firstLine="400"/>
        <w:jc w:val="both"/>
      </w:pPr>
      <w:r>
        <w:rPr>
          <w:sz w:val="20"/>
        </w:rPr>
        <w:t>递交时间：</w:t>
      </w:r>
      <w:r>
        <w:rPr>
          <w:sz w:val="20"/>
        </w:rPr>
        <w:t>202</w:t>
      </w:r>
      <w:r>
        <w:rPr>
          <w:sz w:val="20"/>
        </w:rPr>
        <w:t>6</w:t>
      </w:r>
      <w:r>
        <w:rPr>
          <w:sz w:val="20"/>
        </w:rPr>
        <w:t>年</w:t>
      </w:r>
      <w:r>
        <w:rPr/>
        <w:t>7</w:t>
      </w:r>
      <w:r>
        <w:rPr>
          <w:sz w:val="20"/>
        </w:rPr>
        <w:t>月</w:t>
      </w:r>
      <w:r>
        <w:rPr/>
        <w:t>17</w:t>
      </w:r>
      <w:r>
        <w:rPr>
          <w:sz w:val="20"/>
        </w:rPr>
        <w:t>日上午</w:t>
      </w:r>
      <w:r>
        <w:rPr>
          <w:sz w:val="20"/>
        </w:rPr>
        <w:t>09:30-12:00，下午1</w:t>
      </w:r>
      <w:r>
        <w:rPr>
          <w:sz w:val="20"/>
        </w:rPr>
        <w:t>4</w:t>
      </w:r>
      <w:r>
        <w:rPr>
          <w:sz w:val="20"/>
        </w:rPr>
        <w:t>:30-17:30；202</w:t>
      </w:r>
      <w:r>
        <w:rPr>
          <w:sz w:val="20"/>
        </w:rPr>
        <w:t>6</w:t>
      </w:r>
      <w:r>
        <w:rPr>
          <w:sz w:val="20"/>
        </w:rPr>
        <w:t>年</w:t>
      </w:r>
      <w:r>
        <w:rPr/>
        <w:t>7</w:t>
      </w:r>
      <w:r>
        <w:rPr>
          <w:sz w:val="20"/>
        </w:rPr>
        <w:t>月</w:t>
      </w:r>
      <w:r>
        <w:rPr/>
        <w:t>18</w:t>
      </w:r>
      <w:r>
        <w:rPr>
          <w:sz w:val="20"/>
        </w:rPr>
        <w:t>日上午</w:t>
      </w:r>
      <w:r>
        <w:rPr>
          <w:sz w:val="20"/>
        </w:rPr>
        <w:t>0</w:t>
      </w:r>
      <w:r>
        <w:rPr>
          <w:sz w:val="20"/>
        </w:rPr>
        <w:t>9</w:t>
      </w:r>
      <w:r>
        <w:rPr>
          <w:sz w:val="20"/>
        </w:rPr>
        <w:t>:</w:t>
      </w:r>
      <w:r>
        <w:rPr>
          <w:sz w:val="20"/>
        </w:rPr>
        <w:t>0</w:t>
      </w:r>
      <w:r>
        <w:rPr>
          <w:sz w:val="20"/>
        </w:rPr>
        <w:t>0-</w:t>
      </w:r>
      <w:r>
        <w:rPr>
          <w:sz w:val="20"/>
        </w:rPr>
        <w:t>10</w:t>
      </w:r>
      <w:r>
        <w:rPr>
          <w:sz w:val="20"/>
        </w:rPr>
        <w:t>:</w:t>
      </w:r>
      <w:r>
        <w:rPr>
          <w:sz w:val="20"/>
        </w:rPr>
        <w:t>0</w:t>
      </w:r>
      <w:r>
        <w:rPr>
          <w:sz w:val="20"/>
        </w:rPr>
        <w:t>0。</w:t>
      </w:r>
    </w:p>
    <w:p>
      <w:pPr>
        <w:pStyle w:val="null3"/>
        <w:ind w:firstLine="400"/>
        <w:jc w:val="both"/>
      </w:pPr>
      <w:r>
        <w:rPr>
          <w:sz w:val="20"/>
        </w:rPr>
        <w:t>递交地点：</w:t>
      </w:r>
      <w:r>
        <w:rPr>
          <w:sz w:val="20"/>
        </w:rPr>
        <w:t>广州市白云区政民路</w:t>
      </w:r>
      <w:r>
        <w:rPr>
          <w:sz w:val="20"/>
        </w:rPr>
        <w:t>17号301-304室广东和盛招标代理有限公司</w:t>
      </w:r>
      <w:r>
        <w:rPr>
          <w:sz w:val="20"/>
        </w:rPr>
        <w:t>。</w:t>
      </w:r>
    </w:p>
    <w:p>
      <w:pPr>
        <w:pStyle w:val="null3"/>
        <w:ind w:firstLine="400"/>
        <w:jc w:val="both"/>
      </w:pPr>
      <w:r>
        <w:rPr>
          <w:sz w:val="20"/>
        </w:rPr>
        <w:t>递交联系人：梁</w:t>
      </w:r>
      <w:r>
        <w:rPr>
          <w:sz w:val="20"/>
        </w:rPr>
        <w:t>先生</w:t>
      </w:r>
      <w:r>
        <w:rPr>
          <w:sz w:val="20"/>
        </w:rPr>
        <w:t xml:space="preserve"> </w:t>
      </w:r>
      <w:r>
        <w:rPr>
          <w:sz w:val="20"/>
        </w:rPr>
        <w:t>020-</w:t>
      </w:r>
      <w:r>
        <w:rPr>
          <w:sz w:val="20"/>
        </w:rPr>
        <w:t>37023518</w:t>
      </w:r>
    </w:p>
    <w:p>
      <w:pPr>
        <w:pStyle w:val="null3"/>
        <w:ind w:firstLine="400"/>
        <w:jc w:val="both"/>
      </w:pPr>
      <w:r>
        <w:rPr>
          <w:sz w:val="20"/>
        </w:rPr>
        <w:t>3.样品退还：</w:t>
      </w:r>
      <w:r>
        <w:rPr>
          <w:sz w:val="20"/>
        </w:rPr>
        <w:t>中标人的样品不予退回，由中标人送到采购人校内指定地点，经采购人查验合格无误后作封样处理，并作为履约验收的参考之一。样品优于招标文件要求的，按中标人样品质量进行验收。未中标人提供的样品退还的方式：采购活动结束后，对于未中标人提供的样品，在中标公告发布之日起</w:t>
      </w:r>
      <w:r>
        <w:rPr>
          <w:sz w:val="20"/>
        </w:rPr>
        <w:t>3</w:t>
      </w:r>
      <w:r>
        <w:rPr>
          <w:sz w:val="20"/>
        </w:rPr>
        <w:t>个工作日内退还，由未中标人自行到招标代理机构处凭授权书及领取人有效身份证明领取并办理退还登记手续，逾期不领取的，视为未中标人同意放弃取回样品，由采购人或采购代理机构自行处理</w:t>
      </w:r>
      <w:r>
        <w:rPr>
          <w:sz w:val="20"/>
        </w:rPr>
        <w:t>。</w:t>
      </w:r>
    </w:p>
    <w:p>
      <w:pPr>
        <w:pStyle w:val="null3"/>
        <w:ind w:firstLine="400"/>
        <w:jc w:val="both"/>
      </w:pPr>
      <w:r>
        <w:rPr>
          <w:sz w:val="20"/>
        </w:rPr>
        <w:t>4.本次投标人所提供的样品仅供评委评标时作为评分参考。采购人及采购代理机构对投标人所递交样品的破损或质量不负任何责任。</w:t>
      </w:r>
    </w:p>
    <w:p>
      <w:pPr>
        <w:pStyle w:val="null3"/>
      </w:pPr>
      <w:r>
        <w:rPr>
          <w:sz w:val="20"/>
          <w:b/>
        </w:rPr>
        <w:t>（八）设计与安装</w:t>
      </w:r>
    </w:p>
    <w:p>
      <w:pPr>
        <w:pStyle w:val="null3"/>
        <w:ind w:firstLine="480"/>
        <w:jc w:val="both"/>
      </w:pPr>
      <w:r>
        <w:rPr>
          <w:sz w:val="20"/>
        </w:rPr>
        <w:t>1.深化设计要求</w:t>
      </w:r>
    </w:p>
    <w:p>
      <w:pPr>
        <w:pStyle w:val="null3"/>
        <w:ind w:firstLine="480"/>
        <w:jc w:val="both"/>
      </w:pPr>
      <w:r>
        <w:rPr>
          <w:sz w:val="20"/>
        </w:rPr>
        <w:t>▲（1）投标人应提供</w:t>
      </w:r>
      <w:r>
        <w:rPr>
          <w:sz w:val="20"/>
        </w:rPr>
        <w:t>结构稳定、安全系数高、符合人体工程学、后续</w:t>
      </w:r>
      <w:r>
        <w:rPr>
          <w:sz w:val="20"/>
        </w:rPr>
        <w:t>安装</w:t>
      </w:r>
      <w:r>
        <w:rPr>
          <w:sz w:val="20"/>
        </w:rPr>
        <w:t>维修快速简单</w:t>
      </w:r>
      <w:r>
        <w:rPr>
          <w:sz w:val="20"/>
        </w:rPr>
        <w:t>的符合用户要求的新型产品。并确保提供的货物及所有配套件完整和可靠。</w:t>
      </w:r>
    </w:p>
    <w:p>
      <w:pPr>
        <w:pStyle w:val="null3"/>
        <w:ind w:firstLine="480"/>
        <w:jc w:val="both"/>
      </w:pPr>
      <w:r>
        <w:rPr>
          <w:sz w:val="20"/>
        </w:rPr>
        <w:t>（</w:t>
      </w:r>
      <w:r>
        <w:rPr>
          <w:sz w:val="20"/>
        </w:rPr>
        <w:t>2</w:t>
      </w:r>
      <w:r>
        <w:rPr>
          <w:sz w:val="20"/>
        </w:rPr>
        <w:t>）</w:t>
      </w:r>
      <w:r>
        <w:rPr>
          <w:sz w:val="20"/>
        </w:rPr>
        <w:t>投标人应根据本用户需求书中对应附表的技术参数明细，对所投家具产品提供深化设计图及整体效果图，要求能反映尺寸、造型款式，并以文字形式说明各部分材质。</w:t>
      </w:r>
    </w:p>
    <w:p>
      <w:pPr>
        <w:pStyle w:val="null3"/>
        <w:ind w:firstLine="480"/>
        <w:jc w:val="both"/>
      </w:pPr>
      <w:r>
        <w:rPr>
          <w:sz w:val="20"/>
        </w:rPr>
        <w:t>2.安装、调试要求:</w:t>
      </w:r>
    </w:p>
    <w:p>
      <w:pPr>
        <w:pStyle w:val="null3"/>
        <w:ind w:firstLine="480"/>
        <w:jc w:val="both"/>
      </w:pPr>
      <w:r>
        <w:rPr>
          <w:sz w:val="20"/>
        </w:rPr>
        <w:t>（</w:t>
      </w:r>
      <w:r>
        <w:rPr>
          <w:sz w:val="20"/>
        </w:rPr>
        <w:t>1）中标人安装、调试必须按照有关技术要求、国家标准和行业规范进行。</w:t>
      </w:r>
    </w:p>
    <w:p>
      <w:pPr>
        <w:pStyle w:val="null3"/>
        <w:ind w:firstLine="480"/>
        <w:jc w:val="both"/>
      </w:pPr>
      <w:r>
        <w:rPr>
          <w:sz w:val="20"/>
        </w:rPr>
        <w:t>（</w:t>
      </w:r>
      <w:r>
        <w:rPr>
          <w:sz w:val="20"/>
        </w:rPr>
        <w:t>2）中标人应按进度安排计划，派出适当的技术人员到安装现场负责免费安装和调试工作。所产生的费用由中标人负责。在安装施工期间，严格遵守采购人的有关制度。遵纪守法，做好质量、安全管理，物件堆放整齐，道路畅通，安全生产，文明施工，保持现场卫生干净整洁，工完场清。</w:t>
      </w:r>
    </w:p>
    <w:p>
      <w:pPr>
        <w:pStyle w:val="null3"/>
        <w:ind w:firstLine="480"/>
        <w:jc w:val="both"/>
      </w:pPr>
      <w:r>
        <w:rPr>
          <w:sz w:val="20"/>
        </w:rPr>
        <w:t>▲（3）所有供货品种均由中标人按用户需求书要求及现场情况设计制造，造型及颜色应配合装修设计进行调整，如由于现场情况要自行设计的，需经采购人确认后方可批量生产，否则，采购人不予以验收。中标人在签订合同后，应当首先对用户的现场进行实地测量，保证所提供的货物能够根据用户现场的装修、布线情况进行配套安装使用。对于用户提供的家具尺寸，如果经测量与安装要求有误差的，由中标人免费适当调整。</w:t>
      </w:r>
    </w:p>
    <w:p>
      <w:pPr>
        <w:pStyle w:val="null3"/>
        <w:ind w:firstLine="480"/>
        <w:jc w:val="both"/>
      </w:pPr>
      <w:r>
        <w:rPr>
          <w:sz w:val="20"/>
        </w:rPr>
        <w:t>（</w:t>
      </w:r>
      <w:r>
        <w:rPr>
          <w:sz w:val="20"/>
        </w:rPr>
        <w:t>4</w:t>
      </w:r>
      <w:r>
        <w:rPr>
          <w:sz w:val="20"/>
        </w:rPr>
        <w:t>）</w:t>
      </w:r>
      <w:r>
        <w:rPr>
          <w:sz w:val="20"/>
        </w:rPr>
        <w:t>中标人应依照招标文件的要求和投标文件的承诺，将货物安装</w:t>
      </w:r>
      <w:r>
        <w:rPr>
          <w:sz w:val="20"/>
        </w:rPr>
        <w:t>并</w:t>
      </w:r>
      <w:r>
        <w:rPr>
          <w:sz w:val="20"/>
        </w:rPr>
        <w:t>调试至正常运行的最佳状态。</w:t>
      </w:r>
    </w:p>
    <w:p>
      <w:pPr>
        <w:pStyle w:val="null3"/>
        <w:ind w:firstLine="480"/>
        <w:jc w:val="both"/>
      </w:pPr>
      <w:r>
        <w:rPr>
          <w:sz w:val="20"/>
        </w:rPr>
        <w:t>（</w:t>
      </w:r>
      <w:r>
        <w:rPr>
          <w:sz w:val="20"/>
        </w:rPr>
        <w:t>5</w:t>
      </w:r>
      <w:r>
        <w:rPr>
          <w:sz w:val="20"/>
        </w:rPr>
        <w:t>）</w:t>
      </w:r>
      <w:r>
        <w:rPr>
          <w:sz w:val="20"/>
        </w:rPr>
        <w:t>拆卸</w:t>
      </w:r>
      <w:r>
        <w:rPr>
          <w:sz w:val="20"/>
        </w:rPr>
        <w:t>/</w:t>
      </w:r>
      <w:r>
        <w:rPr>
          <w:sz w:val="20"/>
        </w:rPr>
        <w:t>安装施工期间不得损坏采购人的设备设施，否则原价赔偿。</w:t>
      </w:r>
    </w:p>
    <w:p>
      <w:pPr>
        <w:pStyle w:val="null3"/>
        <w:ind w:firstLine="480"/>
        <w:jc w:val="both"/>
      </w:pPr>
      <w:r>
        <w:rPr>
          <w:sz w:val="20"/>
        </w:rPr>
        <w:t>3.投标人应按供货时间要求制订确保进度及质量的保障措施，包括人力、物力的投入，组织保障等。</w:t>
      </w:r>
    </w:p>
    <w:p>
      <w:pPr>
        <w:pStyle w:val="null3"/>
        <w:jc w:val="both"/>
      </w:pPr>
      <w:r>
        <w:rPr>
          <w:sz w:val="20"/>
          <w:b/>
        </w:rPr>
        <w:t>（</w:t>
      </w:r>
      <w:r>
        <w:rPr>
          <w:sz w:val="20"/>
          <w:b/>
        </w:rPr>
        <w:t>九</w:t>
      </w:r>
      <w:r>
        <w:rPr>
          <w:sz w:val="20"/>
          <w:b/>
        </w:rPr>
        <w:t>）其他要求</w:t>
      </w:r>
    </w:p>
    <w:p>
      <w:pPr>
        <w:pStyle w:val="null3"/>
        <w:ind w:firstLine="480"/>
        <w:jc w:val="both"/>
      </w:pPr>
      <w:r>
        <w:rPr>
          <w:sz w:val="20"/>
        </w:rPr>
        <w:t>一）违约责任</w:t>
      </w:r>
    </w:p>
    <w:p>
      <w:pPr>
        <w:pStyle w:val="null3"/>
        <w:ind w:firstLine="480"/>
        <w:jc w:val="both"/>
      </w:pPr>
      <w:r>
        <w:rPr>
          <w:sz w:val="20"/>
        </w:rPr>
        <w:t>1、中标人交付的物品不符合合同规定的，采购人有权拒收，中标人向采购人支付货款总金额10%的违约金；</w:t>
      </w:r>
    </w:p>
    <w:p>
      <w:pPr>
        <w:pStyle w:val="null3"/>
        <w:ind w:firstLine="480"/>
        <w:jc w:val="both"/>
      </w:pPr>
      <w:r>
        <w:rPr>
          <w:sz w:val="20"/>
        </w:rPr>
        <w:t>2、采购人无正当理由拒收物品，拒付货款的，采购人向中标人偿付物品总金额10%的违约金；</w:t>
      </w:r>
    </w:p>
    <w:p>
      <w:pPr>
        <w:pStyle w:val="null3"/>
        <w:ind w:firstLine="480"/>
        <w:jc w:val="both"/>
      </w:pPr>
      <w:r>
        <w:rPr>
          <w:sz w:val="20"/>
        </w:rPr>
        <w:t>3、中标人逾期完工，则每日按合同总额0.05%向对方偿付违约金，但总额不超过合同总额的10%，逾期交付超过10天，采购人有权终止合同。</w:t>
      </w:r>
    </w:p>
    <w:p>
      <w:pPr>
        <w:pStyle w:val="null3"/>
        <w:ind w:firstLine="480"/>
        <w:jc w:val="both"/>
      </w:pPr>
      <w:r>
        <w:rPr>
          <w:sz w:val="20"/>
        </w:rPr>
        <w:t>二）采购人的配合条件</w:t>
      </w:r>
    </w:p>
    <w:p>
      <w:pPr>
        <w:pStyle w:val="null3"/>
        <w:ind w:firstLine="480"/>
        <w:jc w:val="both"/>
      </w:pPr>
      <w:r>
        <w:rPr>
          <w:sz w:val="20"/>
        </w:rPr>
        <w:t>在合同履行过程中，采购人将提供必要的配合及协调，如根据合同规定及时付款、及时签署有关确认证书、与中标人一起确认进场安装条件、提供安装调试所需的相关工作条件等等。</w:t>
      </w:r>
    </w:p>
    <w:p>
      <w:pPr>
        <w:pStyle w:val="null3"/>
        <w:ind w:firstLine="480"/>
        <w:jc w:val="both"/>
      </w:pPr>
      <w:r>
        <w:rPr>
          <w:sz w:val="20"/>
        </w:rPr>
        <w:t>三）说明</w:t>
      </w:r>
    </w:p>
    <w:p>
      <w:pPr>
        <w:pStyle w:val="null3"/>
        <w:ind w:firstLine="480"/>
        <w:jc w:val="both"/>
      </w:pPr>
      <w:r>
        <w:rPr>
          <w:sz w:val="20"/>
        </w:rPr>
        <w:t>特殊情况由双方共同协商。</w:t>
      </w:r>
    </w:p>
    <w:p>
      <w:pPr>
        <w:pStyle w:val="null3"/>
        <w:ind w:firstLine="480"/>
        <w:jc w:val="both"/>
      </w:pPr>
      <w:r>
        <w:rPr>
          <w:sz w:val="20"/>
        </w:rPr>
        <w:t>四）承诺</w:t>
      </w:r>
    </w:p>
    <w:p>
      <w:pPr>
        <w:pStyle w:val="null3"/>
        <w:ind w:firstLine="482"/>
        <w:jc w:val="both"/>
      </w:pPr>
      <w:r>
        <w:rPr>
          <w:sz w:val="20"/>
          <w:b/>
        </w:rPr>
        <w:t>★1、投标人须承诺：本项目不转包生产，无条件接受采购人组织纪委监察部门等相关人员在投标人单位生产货物期间到生产现场进行抽检。（须提供承诺函并加盖投标人公章）</w:t>
      </w:r>
    </w:p>
    <w:p>
      <w:pPr>
        <w:pStyle w:val="null3"/>
        <w:ind w:firstLine="482"/>
      </w:pPr>
      <w:r>
        <w:rPr>
          <w:sz w:val="20"/>
          <w:b/>
        </w:rPr>
        <w:t>★2、投标人须承诺：投标人的投标文件所有资料属实，无伪造作假；如果发现资料造假，同意采购人不支付货款。（须提供承诺函并加盖投标人公章）</w:t>
      </w:r>
    </w:p>
    <w:p>
      <w:pPr>
        <w:pStyle w:val="null3"/>
        <w:ind w:firstLine="400"/>
      </w:pPr>
      <w:r>
        <w:rPr>
          <w:sz w:val="20"/>
        </w:rPr>
        <w:t>四）投标人在投标文件中需提供满足要求的详细货物制造计划和供货计划</w:t>
      </w:r>
      <w:r>
        <w:rPr>
          <w:sz w:val="20"/>
        </w:rPr>
        <w:t>。</w:t>
      </w:r>
    </w:p>
    <w:p>
      <w:pPr>
        <w:pStyle w:val="null3"/>
      </w:pPr>
      <w:r>
        <w:rPr/>
        <w:t>采购包1（广东外语外贸大学白云山校区2026年学生公寓床等家具采购项目）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2026年8月25日前完成新家具安装调试并交付使用，如因采购人原因导致不能进场安装，则双方协调商议完成安装调试时间并交付使用。</w:t>
            </w:r>
          </w:p>
        </w:tc>
      </w:tr>
      <w:tr>
        <w:tc>
          <w:tcPr>
            <w:tcW w:type="dxa" w:w="4153"/>
          </w:tcPr>
          <w:p>
            <w:pPr>
              <w:pStyle w:val="null3"/>
            </w:pPr>
            <w:r>
              <w:rPr/>
              <w:t>标的提供的地点</w:t>
            </w:r>
          </w:p>
        </w:tc>
        <w:tc>
          <w:tcPr>
            <w:tcW w:type="dxa" w:w="4153"/>
          </w:tcPr>
          <w:p>
            <w:pPr>
              <w:pStyle w:val="null3"/>
            </w:pPr>
            <w:r>
              <w:rPr/>
              <w:t>白云大道北2号广东外语外贸大学学生宿舍1至58栋（最高五楼）</w:t>
            </w:r>
          </w:p>
        </w:tc>
      </w:tr>
      <w:tr>
        <w:tc>
          <w:tcPr>
            <w:tcW w:type="dxa" w:w="4153"/>
          </w:tcPr>
          <w:p>
            <w:pPr>
              <w:pStyle w:val="null3"/>
            </w:pPr>
            <w:r>
              <w:rPr/>
              <w:t>付款方式</w:t>
            </w:r>
          </w:p>
        </w:tc>
        <w:tc>
          <w:tcPr>
            <w:tcW w:type="dxa" w:w="4153"/>
          </w:tcPr>
          <w:p>
            <w:pPr>
              <w:pStyle w:val="null3"/>
            </w:pPr>
            <w:r>
              <w:rPr/>
              <w:t>1期：支付比例50%,签订合同后，采购人收到中标人提供的发票后5个工作日内支付合同金额的50%作为预付款；</w:t>
            </w:r>
          </w:p>
          <w:p>
            <w:pPr>
              <w:pStyle w:val="null3"/>
            </w:pPr>
            <w:r>
              <w:rPr/>
              <w:t>2期：支付比例50%,中标人安装完成，经双方确认全部货物验收合格并提交验收报告，采购人收到中标人提供的发票后10个工作日内支付剩余款项。每笔款项支付前，中标人需向采购人提供相应金额的正式发票。上述付款时间规定为采购人向政府采购支付部门提出支付申请的时间（不含政府财政支付部门审查的时间），采购人在规定时间内提起申请的即视为采购人已履行付款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家具送达目的地并完成安装调试后，须向采购人书面申请验收，货物安装完成时间以中标人出书面申请验收时间为准。在接到中标人申请后，采购人应在7日内组织验收，采购人按照货物需求表及参照样品进行验收。 2.交付验收标准为：①符合中华人民共和国国家安全质量标准、环保标准或行业标准；②符合招标文件和投标承诺中采购人认可的合理最佳配置、参数及各项要求；③投标实物样品与投标文件书面响应不一致时，以优者为准。 3.采购人及中标人双方将按照双方最终确定的样品，对货物进行验收；货不对板，拒绝收货及安装。 4.在中标人安装、调试后进行检查验收，如果发现数量不足，质量、技术或材料说明跟清单不符等问题，中标人应负责按照用户的要求采取补足更换等处理措施，并承担由此发生的一切损失和费用。 5.采购人可免费从供货商合同货物中随机抽样作破坏性验收。 6.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双方签订合同之日起，中标人在5个工作日内向采购人缴纳合同总金额的5%作为履约保证金。项目完成安装调试并通过验收后，中标人已按合同售后服务条款履行承诺且无须承担赔偿项的，由中标人向采购人提出书面申请后，采购人自收到中标人返履约保证金申请之日起，于15日内无息返还给中标人。 2、履约保证金的退还不能免除中标人因货物本身质量问题所导致的法律责任和由此对采购人造成的经济损失的赔偿义务。履约保证金可以以履约保函（保险）形式提供。 3、不予退还的情形：如在合同期内，中标人自行停止合约或违反合同有关规定被采购人终止合约的，则履约保证金全部归采购人所有。若中标人不履行或不适当履行其合同义务导致采购人蒙受损失的，采购人有权直接从履约保证金中扣除相应违约金或损失赔偿款项；违约金或给采购人造成的损失超过履约保证金数额的，中标人应对超出部分给予赔偿。其他违约责任按照合同约定执行。 4、采购人逾期退还履约保证金的，除应当退还履约保证金本金外，还应当每日按合同总价的0.3‰向中标人偿付违约金，但因合同的履行产生争议中标人自身原因导致无法及时退还的除外。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包装和发运，1.中标人应按《商品包装政府采购需求标准（试行）》等有关标准提供货物的包装，货物的包装和发运应符合货物特性要求。包装必须与运输方式相适应，包装方式的确定及包装费用均由中标人负责，由于不适当的包装而造成货物在运输过程中有任何损坏、丢失由中标人负责。 2.中标人应采用恰当的方式将货物运抵交货地点，交货给采购人（同时，提供货物清单），由于不适当的运输方式而造成货物在运输过程中有任何损坏、丢失由中标人负责。 3.包装应足以承受整个过程中的运输、转运、装缷、储存等，充分考虑到运输途中的各种情况（如暴露于恶劣气候等），以及露天存放的需要。 4.专用工具及备品备件应分别包装，并在包装箱外加以注明其用处。 5.为了保证货物在长途运输和装卸过程中的安全，货物包装应符合国家或行业标准规定。由于包装不善导致货物锈蚀、失缺或损坏，由中标人承担一切责任。 6.中标人负责将货物送到现场过程中的全部运输；包括装卸车、货物现场的搬运等；在充分保证货物财产安全的前提下，中标人应选择快捷高效的运输途径，尽量减少货物中转、装卸的次数。如委托第三方运输货物的，中标人须全程跟踪，不得任由承运人随意处置货物。货物抵达采购人收货地点进行卸货作业时，不得损坏甲方电梯、墙体、家具、用具等物品，如有对采购人造成财产损失的，中标人须赔偿采购人全部损失。 7.货物在现场的保管由中标人负责，直至项目完工、验收完毕； 8.货物在验收合格前的保险由中标人负责，中标人负责其派出的现场服务人员人身意外保险。</w:t>
            </w:r>
          </w:p>
          <w:p>
            <w:pPr>
              <w:pStyle w:val="null3"/>
            </w:pPr>
            <w:r>
              <w:rPr/>
              <w:t>（二）售后服务要求，1.质保期（自货物最终验收合格并交付使用之日起计算）：家具提供8年质保，8年内提供免费服务（含部件、人力、上门等）。在质保期内中标人免费提供产品正常使用情况下的维修及保养服务。 2.质保期内，非采购人的人为原因而出现产品质量及安装问题，由中标人负责包修、包换或包退，并承担因此而产生的一切费用。质保期和免费维修期相应顺延。 3.所有货物质保服务方式均为中标人上门服务，即由中标人派员到货物使用现场维修，由此产生的一切费用均由中标人承担。 4.免费质保期内，保证在接到采购人的报障电话后1小时内响应，接到报障电话6小时内派技术人员上门维修解决问题，并于48小时内排除故障。如48小时内不能解决维修问题，需要更换替代货物使用。如果需要更换配件的，要求更换的配件跟被更换的品牌、类型相一致或者是同类档次的替代品，后者需征得采购人的管理人员同意。 ▲5.中标人应提供满足家具8年正常使用的备品备件，备用数量不低于中标数量3%，其费用应包括在中标价格之内。 6.质保期满后，瑕疵一旦确认为制造上之过失后，中标人应负责采取修正该瑕疵之补救措施，包括维修或免费更换必要零件，若该瑕疵导致产品完全不能使用，中标人应负责更换整件产品。 ▲7.所有产品安装完成后，中标人需对采购人指定房间进行一次室内空气检测，房间数量不低于产品所有房间数3%，检测内容包括但不限于甲醛、胺、苯、甲苯、二甲苯、TVOC等，如均符合《建筑环境通用规范》 GB 55016-2021相关标准即可验收，如出现不合格项目，需对产品所在建筑室内进行治理直至抽检合格，相关费用由中标人承担。 8.技术资料：中标人应向采购人提供家具的技术样本、安装、维修和使用手册及其它相关技术资料（如有特别说明的除外）。</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钢木床类</w:t>
            </w:r>
          </w:p>
        </w:tc>
        <w:tc>
          <w:tcPr>
            <w:tcW w:type="dxa" w:w="831"/>
          </w:tcPr>
          <w:p>
            <w:pPr>
              <w:pStyle w:val="null3"/>
              <w:jc w:val="left"/>
            </w:pPr>
            <w:r>
              <w:rPr/>
              <w:t>白云山校区2026年学生公寓床等家具</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6,070,000.00</w:t>
            </w:r>
          </w:p>
        </w:tc>
        <w:tc>
          <w:tcPr>
            <w:tcW w:type="dxa" w:w="831"/>
          </w:tcPr>
          <w:p>
            <w:pPr>
              <w:pStyle w:val="null3"/>
              <w:jc w:val="right"/>
            </w:pPr>
            <w:r>
              <w:rPr/>
              <w:t>6,070,000.00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白云山校区2026年学生公寓床等家具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广东外语外贸大学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采购预算金额作为收费基数，收费标准参照中华人民共和国国家发展计划委员会颁发的计价格[2002]1980号文《招标代理服务收费管理暂行办法》及国家发改委[2003]857号及发改价格[2011]534号文件中规定的“货物类”计费标准下浮20%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默认时长30分钟。如遇特殊情况（平台故障等），则按开标时现场工作人员通知为准。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广东和盛招标代理有限公司</w:t>
      </w:r>
      <w:r>
        <w:rPr/>
        <w:t>代收。具体操作要求详见</w:t>
      </w:r>
      <w:r>
        <w:rPr/>
        <w:t>广东和盛招标代理有限公司</w:t>
      </w:r>
      <w:r>
        <w:rPr/>
        <w:t>有关指引，递交事宜请自行咨询</w:t>
      </w:r>
      <w:r>
        <w:rPr/>
        <w:t>广东和盛招标代理有限公司</w:t>
      </w:r>
      <w:r>
        <w:rPr/>
        <w:t>；请各投标人在投标文件递交截止时间前按须知前附表规定的金额递交至</w:t>
      </w:r>
      <w:r>
        <w:rPr/>
        <w:t>广东和盛招标代理有限公司</w:t>
      </w:r>
      <w:r>
        <w:rPr/>
        <w:t>，到账情况以开标时</w:t>
      </w:r>
      <w:r>
        <w:rPr/>
        <w:t>广东和盛招标代理有限公司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广州市白云区政民路17号301-304室</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外语外贸大学白云山校区2026年学生公寓床等家具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采购包1（广东外语外贸大学白云山校区2026年学生公寓床等家具采购项目）：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采购包1（广东外语外贸大学白云山校区2026年学生公寓床等家具采购项目）：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供应商提供的所有产品须全部由中小企业生产且使用该中小企业商号或注册商标。中小企业须符合本项目采购标的对应行业（工业）的政策划分标准。监狱企业、残疾人福利单位视同小型、微型企业。 注：中小企业应填写的《中小企业声明函（货物）》（见投标格式）为判定标准，残疾人福利性单位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采购包1（广东外语外贸大学白云山校区2026年学生公寓床等家具采购项目）：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投标报价是固定价且是唯一的，未超过本项目采购包预算金额（最高限价）；</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已按规定格式编制及盖章、签署；</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投标有效期为投标截止日起至少90天；</w:t>
            </w:r>
          </w:p>
        </w:tc>
      </w:tr>
      <w:tr>
        <w:tc>
          <w:tcPr>
            <w:tcW w:type="dxa" w:w="890"/>
          </w:tcPr>
          <w:p>
            <w:pPr>
              <w:pStyle w:val="null3"/>
            </w:pPr>
            <w:r>
              <w:rPr/>
              <w:t>4</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5</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7</w:t>
            </w:r>
          </w:p>
        </w:tc>
        <w:tc>
          <w:tcPr>
            <w:tcW w:type="dxa" w:w="3178"/>
          </w:tcPr>
          <w:p>
            <w:pPr>
              <w:pStyle w:val="null3"/>
            </w:pPr>
            <w:r>
              <w:rPr/>
              <w:t>无效情形</w:t>
            </w:r>
          </w:p>
        </w:tc>
        <w:tc>
          <w:tcPr>
            <w:tcW w:type="dxa" w:w="4238"/>
          </w:tcPr>
          <w:p>
            <w:pPr>
              <w:pStyle w:val="null3"/>
            </w:pPr>
            <w:r>
              <w:rPr/>
              <w:t>投标文件中未有法律、法规、规章或招标文件规定无效投标的情形。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采购包1(广东外语外贸大学白云山校区2026年学生公寓床等家具采购项目):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一般技术参数响应情况 (4.0分)</w:t>
            </w:r>
          </w:p>
        </w:tc>
        <w:tc>
          <w:tcPr>
            <w:tcW w:type="dxa" w:w="5076"/>
          </w:tcPr>
          <w:p>
            <w:pPr>
              <w:pStyle w:val="null3"/>
              <w:jc w:val="left"/>
            </w:pPr>
            <w:r>
              <w:rPr/>
              <w:t>根据投标人对第二章采购需求（六）技术要求“一）技术指标要求1、产品款式及尺寸要求-材质工艺要求说明”一般技术参数响应情况进行评审，（除“▲”条款外，共80条），每有一个满足（无偏离）或优于（正偏离）的得0.05分，本项最高得4分。 注：凡是标有序号且为最末级序号的条款均以一项单独的条款计算。采购需求中要求提供相关证明材料的，必须按采购需求要求提供相关证明材料，如未按要求提供相关证明材料的，则视为“不满足”。若采购需求中无明确证明材料的，以投标人投标文件《技术和服务要求响应表》填写的“是否偏离”为准，未填写或未响应的视为不满足。</w:t>
            </w:r>
          </w:p>
        </w:tc>
      </w:tr>
      <w:tr>
        <w:tc>
          <w:tcPr>
            <w:tcW w:type="dxa" w:w="922"/>
            <w:gridSpan w:val="2"/>
            <w:vMerge/>
          </w:tcPr>
          <w:p/>
        </w:tc>
        <w:tc>
          <w:tcPr>
            <w:tcW w:type="dxa" w:w="2307"/>
          </w:tcPr>
          <w:p>
            <w:pPr>
              <w:pStyle w:val="null3"/>
              <w:jc w:val="left"/>
            </w:pPr>
            <w:r>
              <w:rPr/>
              <w:t>重要技术参数响应情况 (8.0分)</w:t>
            </w:r>
          </w:p>
        </w:tc>
        <w:tc>
          <w:tcPr>
            <w:tcW w:type="dxa" w:w="5076"/>
          </w:tcPr>
          <w:p>
            <w:pPr>
              <w:pStyle w:val="null3"/>
              <w:jc w:val="left"/>
            </w:pPr>
            <w:r>
              <w:rPr/>
              <w:t>根据投标人对第二章采购需求中“▲”参数响应情况（除主要商务要求外，共8项）进行评审：每有一个满足（无偏离）或优于（正偏离）的得1分，本项最高得8分。 注：采购需求中要求提供相关证明材料的，必须按采购需求要求提供相关证明材料，如未按要求提供相关证明材料的，则视为“不满足”。若采购需求中无明确证明材料的，以投标人投标文件《技术和服务要求响应表》填写的“是否偏离”为准，未填写或未响应的视为不满足。</w:t>
            </w:r>
          </w:p>
        </w:tc>
      </w:tr>
      <w:tr>
        <w:tc>
          <w:tcPr>
            <w:tcW w:type="dxa" w:w="922"/>
            <w:gridSpan w:val="2"/>
            <w:vMerge/>
          </w:tcPr>
          <w:p/>
        </w:tc>
        <w:tc>
          <w:tcPr>
            <w:tcW w:type="dxa" w:w="2307"/>
          </w:tcPr>
          <w:p>
            <w:pPr>
              <w:pStyle w:val="null3"/>
              <w:jc w:val="left"/>
            </w:pPr>
            <w:r>
              <w:rPr/>
              <w:t>实物成品样品评审 (7.0分)</w:t>
            </w:r>
          </w:p>
        </w:tc>
        <w:tc>
          <w:tcPr>
            <w:tcW w:type="dxa" w:w="5076"/>
          </w:tcPr>
          <w:p>
            <w:pPr>
              <w:pStyle w:val="null3"/>
              <w:jc w:val="left"/>
            </w:pPr>
            <w:r>
              <w:rPr/>
              <w:t>根据投标人提供的公寓组合床具（单人位）+学生椅1:1实物成品一套（含公寓床床架（含蚊帐杆）、更衣柜、书桌（含书架）、学生椅）的整体造型设计、工艺、质量、喷漆等情况进行综合评价： （1）样品设计科学、造型美观，整体结构稳固可靠，无晃动、无异响；表面处理均匀细腻，部件拼接严密平整，无明显凹凸、划痕、色差及喷涂层脱落；工艺精湛，完全符合采购需求技术要求的，得7分； （2）样品设计基本合理、美观，整体结构较稳固，轻微晃动但不影响正常使用；表面处理基本均匀，部件拼接有轻微色差、细小划痕等瑕疵，不影响功能和外观；喷漆工艺一般，基本符合采购需求要求的，得4分； （3）样品设计不合理，存在明显视觉缺陷；整体结构不稳固，晃动明显或有异响；表面处理粗糙，部件拼接存在明显缝隙、歪斜或较多明显划痕、色差、露底等瑕疵；喷漆工艺差，不符合采购需求要求的，得1分； （4）不提供样品或样品不齐全不得分。</w:t>
            </w:r>
          </w:p>
        </w:tc>
      </w:tr>
      <w:tr>
        <w:tc>
          <w:tcPr>
            <w:tcW w:type="dxa" w:w="922"/>
            <w:gridSpan w:val="2"/>
            <w:vMerge/>
          </w:tcPr>
          <w:p/>
        </w:tc>
        <w:tc>
          <w:tcPr>
            <w:tcW w:type="dxa" w:w="2307"/>
          </w:tcPr>
          <w:p>
            <w:pPr>
              <w:pStyle w:val="null3"/>
              <w:jc w:val="left"/>
            </w:pPr>
            <w:r>
              <w:rPr/>
              <w:t>材料小样样品评审 (5.0分)</w:t>
            </w:r>
          </w:p>
        </w:tc>
        <w:tc>
          <w:tcPr>
            <w:tcW w:type="dxa" w:w="5076"/>
          </w:tcPr>
          <w:p>
            <w:pPr>
              <w:pStyle w:val="null3"/>
              <w:jc w:val="left"/>
            </w:pPr>
            <w:r>
              <w:rPr/>
              <w:t>根据投标人提供的投标材料小样样品的材质、尺寸、实用性、安全性、工艺、外观等方面进行评审： （1）样品材质、规格尺寸完全符合采购需求；实用性强，无锐利边角、无毛刺、无开裂风险、安全性高；工艺精良，表面光滑，边角处理精细，外观协调美观，无瑕疵的，得5分； （2）样品材质、规格尺寸基本符合采购需求；实用性和基本安全性满足要求；轻微毛刺但不伤手；工艺良好，表面较光滑，边角处理基本到位，外观无明显不协调的，得3分； （3）样品材质、规格尺寸基本满足采购需求，但实用性和安全性较差，存在锐角、轻微开裂隐患；工艺粗糙，表面有明显瑕疵，外观不协调的，得1分； （4）不提供小样或小样不齐全不得分，得0分。</w:t>
            </w:r>
          </w:p>
        </w:tc>
      </w:tr>
      <w:tr>
        <w:tc>
          <w:tcPr>
            <w:tcW w:type="dxa" w:w="922"/>
            <w:gridSpan w:val="2"/>
            <w:vMerge/>
          </w:tcPr>
          <w:p/>
        </w:tc>
        <w:tc>
          <w:tcPr>
            <w:tcW w:type="dxa" w:w="2307"/>
          </w:tcPr>
          <w:p>
            <w:pPr>
              <w:pStyle w:val="null3"/>
              <w:jc w:val="left"/>
            </w:pPr>
            <w:r>
              <w:rPr/>
              <w:t>深化设计方案 (7.0分)</w:t>
            </w:r>
          </w:p>
        </w:tc>
        <w:tc>
          <w:tcPr>
            <w:tcW w:type="dxa" w:w="5076"/>
          </w:tcPr>
          <w:p>
            <w:pPr>
              <w:pStyle w:val="null3"/>
              <w:jc w:val="left"/>
            </w:pPr>
            <w:r>
              <w:rPr/>
              <w:t>投标人根据采购需求中（八）设计与安装“深化设计要求”的内容，制定详细具体、科学合理的深化设计方案（要求能反映尺寸、造型款式，并以文字形式说明各部分材质），并根据方案的响应情况进行评审： （1）深化设计方案详实具体、科学可行；全部产品效果图齐全，完整标注尺寸、造型款式及结构信息；各部位、构件材质文字说明清晰完整、细节详实，完全满足或优于采购需求，可有效保障项目实施，得7分； （2）深化设计方案内容完整；全部产品效果图齐全且标识规范、信息完整；所有产品及部位均有明确材质文字说明，仅少量次要细节描述不够细化，无实质性偏差，基本满足采购需求，得4分； （3）深化设计方案内容笼统、不够具体；或存在部分产品效果图未标注尺寸、造型等关键信息；或部分构件、部位缺失材质文字说明、材质描述模糊，无法完全满足采购需求，得1分； （4）未提供相关方案或效果图的不得分。</w:t>
            </w:r>
          </w:p>
        </w:tc>
      </w:tr>
      <w:tr>
        <w:tc>
          <w:tcPr>
            <w:tcW w:type="dxa" w:w="922"/>
            <w:gridSpan w:val="2"/>
            <w:vMerge/>
          </w:tcPr>
          <w:p/>
        </w:tc>
        <w:tc>
          <w:tcPr>
            <w:tcW w:type="dxa" w:w="2307"/>
          </w:tcPr>
          <w:p>
            <w:pPr>
              <w:pStyle w:val="null3"/>
              <w:jc w:val="left"/>
            </w:pPr>
            <w:r>
              <w:rPr/>
              <w:t>主要原材料、构件的检测报告 (4.0分)</w:t>
            </w:r>
          </w:p>
        </w:tc>
        <w:tc>
          <w:tcPr>
            <w:tcW w:type="dxa" w:w="5076"/>
          </w:tcPr>
          <w:p>
            <w:pPr>
              <w:pStyle w:val="null3"/>
              <w:jc w:val="left"/>
            </w:pPr>
            <w:r>
              <w:rPr/>
              <w:t>投标人或所投产品制造商提供以下主要原材料、构件的承诺函，承诺满足第二章采购需求（六）技术要求“一）技术指标要求2、产品质量及其他技术标准要求”的国家推荐标准及行业推荐标准，且在供货前提供相应第三方检测机构出具的检测/检验报告，每个得0.5分，最高得4分： ①PP塑料、②冷轧钢板、③多层实木板、④抑菌静电喷涂粉末、⑤床立柱、⑥床横梁、⑦尼龙脚套、⑧床前护栏。 注：提供承诺函（格式自拟），不提供或提供不齐全的不得分。</w:t>
            </w:r>
          </w:p>
        </w:tc>
      </w:tr>
      <w:tr>
        <w:tc>
          <w:tcPr>
            <w:tcW w:type="dxa" w:w="922"/>
            <w:gridSpan w:val="2"/>
            <w:vMerge/>
          </w:tcPr>
          <w:p/>
        </w:tc>
        <w:tc>
          <w:tcPr>
            <w:tcW w:type="dxa" w:w="2307"/>
          </w:tcPr>
          <w:p>
            <w:pPr>
              <w:pStyle w:val="null3"/>
              <w:jc w:val="left"/>
            </w:pPr>
            <w:r>
              <w:rPr/>
              <w:t>所投产品的检测报告 (4.0分)</w:t>
            </w:r>
          </w:p>
        </w:tc>
        <w:tc>
          <w:tcPr>
            <w:tcW w:type="dxa" w:w="5076"/>
          </w:tcPr>
          <w:p>
            <w:pPr>
              <w:pStyle w:val="null3"/>
              <w:jc w:val="left"/>
            </w:pPr>
            <w:r>
              <w:rPr/>
              <w:t>投标人或所投产品制造商提供以下所投产品的承诺函，承诺满足第二章采购需求（六）技术要求“一）技术指标要求2、产品质量及其他技术标准要求”的国家推荐标准及行业推荐标准，且在供货前提供相应第三方检测机构出具的检测/检验报告，每个得1分，最高得4分： ①书架、②衣柜、③公寓床、④学生椅（公寓椅）。 注：提供承诺函（格式自拟），不提供或提供不齐全的不得分。</w:t>
            </w:r>
          </w:p>
        </w:tc>
      </w:tr>
      <w:tr>
        <w:tc>
          <w:tcPr>
            <w:tcW w:type="dxa" w:w="922"/>
            <w:gridSpan w:val="2"/>
            <w:vMerge/>
          </w:tcPr>
          <w:p/>
        </w:tc>
        <w:tc>
          <w:tcPr>
            <w:tcW w:type="dxa" w:w="2307"/>
          </w:tcPr>
          <w:p>
            <w:pPr>
              <w:pStyle w:val="null3"/>
              <w:jc w:val="left"/>
            </w:pPr>
            <w:r>
              <w:rPr/>
              <w:t>产品阻燃性能 (2.0分)</w:t>
            </w:r>
          </w:p>
        </w:tc>
        <w:tc>
          <w:tcPr>
            <w:tcW w:type="dxa" w:w="5076"/>
          </w:tcPr>
          <w:p>
            <w:pPr>
              <w:pStyle w:val="null3"/>
              <w:jc w:val="left"/>
            </w:pPr>
            <w:r>
              <w:rPr/>
              <w:t>投标人或所投产品制造商具有家具产品阻燃等级认证证书，得2分。 注：须提供有效期内认证证书复印件加盖公章，并同时提供网上查询打印页（网址以http://cx.cnca.cn/网站公布为准）,如网上无法查询或与公开信息不一致的，投标人必须提供发证机构出具的证明函，不提供不得分，已失效或撤销或暂停不得分。</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投标人根据采购需求制定详细具体、科学合理的项目实施方案（包括但不限于货物制造计划、供货计划、安装调试、进度及质量保障措施等），并根据方案的响应情况进行评审： （1）项目实施方案详实具体、逻辑清晰，贴合项目实际、针对性强；货物制造、供货、安装调试、进度管控、质量保障等核心内容齐全完善，措施科学可行，完全满足或优于采购需求，有效保障项目高效落地实施，得7分； （2）项目实施方案内容完整，覆盖货物制造、供货、安装调试、进度及质量保障全部核心内容；方案表述较为常规、针对性一般，仅少量细节不够细化，无实质性偏差，基本满足采购需求，得4分； （3）项目实施方案内容笼统、框架简单，贴合项目实际不足、针对性差；核心实施内容存在内容简略、措施缺失或不合理等情况，较多偏离采购实际需求，得1分； （4）未提供相关方案的不得分。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(6.0分)</w:t>
            </w:r>
          </w:p>
        </w:tc>
        <w:tc>
          <w:tcPr>
            <w:tcW w:type="dxa" w:w="5076"/>
          </w:tcPr>
          <w:p>
            <w:pPr>
              <w:pStyle w:val="null3"/>
              <w:jc w:val="left"/>
            </w:pPr>
            <w:r>
              <w:rPr/>
              <w:t>1.根据投标人对采购需求“主要商务要求-其他（二）售后服务要求”的“▲”条款（共2项）响应情况进行评审：每有一个满足（无偏离）或优于（正偏离）的得2分，本项最高得4分； 2.根据投标人对采购需求“主要商务要求-其他（一）包装和发运”的一般条款（共8条）响应情况进行评审：每有一个满足（无偏离）或优于（正偏离）的得0.25分，本项最高得2分； 注：对于商务条款要求，如采购需求书中有明确要求提供证明材料的，则以采购需求书要求的为准；未按要求提供证明资料的均不得分。</w:t>
            </w:r>
          </w:p>
        </w:tc>
      </w:tr>
      <w:tr>
        <w:tc>
          <w:tcPr>
            <w:tcW w:type="dxa" w:w="922"/>
            <w:gridSpan w:val="2"/>
            <w:vMerge/>
          </w:tcPr>
          <w:p/>
        </w:tc>
        <w:tc>
          <w:tcPr>
            <w:tcW w:type="dxa" w:w="2307"/>
          </w:tcPr>
          <w:p>
            <w:pPr>
              <w:pStyle w:val="null3"/>
              <w:jc w:val="left"/>
            </w:pPr>
            <w:r>
              <w:rPr/>
              <w:t>认证证书 (4.0分)</w:t>
            </w:r>
          </w:p>
        </w:tc>
        <w:tc>
          <w:tcPr>
            <w:tcW w:type="dxa" w:w="5076"/>
          </w:tcPr>
          <w:p>
            <w:pPr>
              <w:pStyle w:val="null3"/>
              <w:jc w:val="left"/>
            </w:pPr>
            <w:r>
              <w:rPr/>
              <w:t>（1）投标人或所投产品制造商具有质量管理体系认证的得1分； （2）投标人或所投产品制造商具有环境管理体系认证的得1分； （3）投标人或所投产品制造商具有职业健康安全管理体系认证的得1分； （4）投标人或所投产品制造商列入《环境标志产品政府采购品目清单》的所投产品中，具有“中国环境标志产品认证证书”（认证单元包含本项目采购需求中的金属家具类或钢木家具类或钢塑家具类）的得1分。本项满分4分。 注：需提供有效期内的认证证书扫描件和全国认证认可信息公共服务平台官网查询网址（http://cx.cnca.cn/）的证书查询截图（证书状态须为有效）并加盖投标人公章。因成立时间不足3个月导致投标人无法获得上述（1）-（4）项认证证书的，投标人提供书面说明可对应得分。无相关证明文件不得分。</w:t>
            </w:r>
          </w:p>
        </w:tc>
      </w:tr>
      <w:tr>
        <w:tc>
          <w:tcPr>
            <w:tcW w:type="dxa" w:w="922"/>
            <w:gridSpan w:val="2"/>
            <w:vMerge/>
          </w:tcPr>
          <w:p/>
        </w:tc>
        <w:tc>
          <w:tcPr>
            <w:tcW w:type="dxa" w:w="2307"/>
          </w:tcPr>
          <w:p>
            <w:pPr>
              <w:pStyle w:val="null3"/>
              <w:jc w:val="left"/>
            </w:pPr>
            <w:r>
              <w:rPr/>
              <w:t>同类项目业绩及用户评价 (5.0分)</w:t>
            </w:r>
          </w:p>
        </w:tc>
        <w:tc>
          <w:tcPr>
            <w:tcW w:type="dxa" w:w="5076"/>
          </w:tcPr>
          <w:p>
            <w:pPr>
              <w:pStyle w:val="null3"/>
              <w:jc w:val="left"/>
            </w:pPr>
            <w:r>
              <w:rPr/>
              <w:t>投标人自2023年1月1日（以合同签订时间为准）至今完成的同类项目业绩且用户单位出具的满意度评价，评价情况至少须为“满意”或类似好评的方可计分：每提供一个得1分，满分为5分。 注：（1）投标人需提供合同复印件及对应合同开具有效发票的复印件。 （2）同类项目业绩时间节点以合同签订时间为准。 （3）同一业主单位若有提供多份合同，不重复计算得分。 （4）评分中出现无证明资料或专家无法凭所提供资料判断是否得分的情况，一律作不得分处理。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投标人根据采购需求中主要商务条款“售后服务要求”的内容（不含▲号条款），制定详细具体、科学合理的售后服务方案（包括售后服务力量、维修方式、响应时间、到达现场时间、解决问题时间、超时不能修复的处理措施、维修保养计划等），并根据方案的响应情况进行评审： （1）售后服务方案详实具体、针对性强，服务体系完整完善；售后服务力量、维修方式、各级响应时限、现场处置、超时补救措施、常态化维保计划等核心内容齐全细化、科学可行，所有服务承诺完全满足采购需求，部分内容优于采购标准，服务保障能力强，得7分； （2）售后服务方案整体完善、架构齐全，覆盖全部核心售后服务内容及采购需求要求；各项服务承诺均满足采购标准，仅少量细节内容表述不够细化，具备完整的服务保障能力，得4分； （3）售后服务方案内容笼统、框架简单，针对性不足；核心服务内容存在内容简略、表述模糊、部分措施缺失等情况，服务承诺仅部分满足采购需求，服务保障完整性、有效性不足，得1分； （4）无相关描述不得分。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采购编号：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w:t>
      </w:r>
    </w:p>
    <w:p>
      <w:pPr>
        <w:pStyle w:val="null3"/>
        <w:ind w:firstLine="413"/>
        <w:jc w:val="both"/>
      </w:pPr>
      <w:r>
        <w:rPr/>
        <w:t xml:space="preserve"> </w:t>
      </w:r>
    </w:p>
    <w:p>
      <w:pPr>
        <w:pStyle w:val="null3"/>
        <w:jc w:val="both"/>
      </w:pPr>
      <w:r>
        <w:rPr>
          <w:sz w:val="21"/>
        </w:rPr>
        <w:t>甲</w:t>
      </w:r>
      <w:r>
        <w:rPr>
          <w:sz w:val="21"/>
        </w:rPr>
        <w:t xml:space="preserve">    </w:t>
      </w:r>
      <w:r>
        <w:rPr>
          <w:sz w:val="21"/>
        </w:rPr>
        <w:t>方：广东外语外贸大学</w:t>
      </w:r>
    </w:p>
    <w:p>
      <w:pPr>
        <w:pStyle w:val="null3"/>
        <w:jc w:val="both"/>
      </w:pPr>
      <w:r>
        <w:rPr>
          <w:sz w:val="21"/>
        </w:rPr>
        <w:t>电话：</w:t>
      </w:r>
    </w:p>
    <w:p>
      <w:pPr>
        <w:pStyle w:val="null3"/>
        <w:jc w:val="both"/>
      </w:pPr>
      <w:r>
        <w:rPr>
          <w:sz w:val="21"/>
        </w:rPr>
        <w:t>传真：</w:t>
      </w:r>
    </w:p>
    <w:p>
      <w:pPr>
        <w:pStyle w:val="null3"/>
        <w:jc w:val="both"/>
      </w:pPr>
      <w:r>
        <w:rPr>
          <w:sz w:val="21"/>
        </w:rPr>
        <w:t>地址：</w:t>
      </w:r>
    </w:p>
    <w:p>
      <w:pPr>
        <w:pStyle w:val="null3"/>
        <w:jc w:val="both"/>
      </w:pPr>
      <w:r>
        <w:rPr>
          <w:sz w:val="21"/>
        </w:rPr>
        <w:t>乙</w:t>
      </w:r>
      <w:r>
        <w:rPr>
          <w:sz w:val="21"/>
        </w:rPr>
        <w:t xml:space="preserve">    </w:t>
      </w:r>
      <w:r>
        <w:rPr>
          <w:sz w:val="21"/>
        </w:rPr>
        <w:t>方：</w:t>
      </w:r>
    </w:p>
    <w:p>
      <w:pPr>
        <w:pStyle w:val="null3"/>
        <w:jc w:val="both"/>
      </w:pPr>
      <w:r>
        <w:rPr>
          <w:sz w:val="21"/>
        </w:rPr>
        <w:t>电话：</w:t>
      </w:r>
    </w:p>
    <w:p>
      <w:pPr>
        <w:pStyle w:val="null3"/>
        <w:jc w:val="both"/>
      </w:pPr>
      <w:r>
        <w:rPr>
          <w:sz w:val="21"/>
        </w:rPr>
        <w:t>传真：</w:t>
      </w:r>
    </w:p>
    <w:p>
      <w:pPr>
        <w:pStyle w:val="null3"/>
        <w:jc w:val="both"/>
      </w:pPr>
      <w:r>
        <w:rPr>
          <w:sz w:val="21"/>
        </w:rPr>
        <w:t>地址：</w:t>
      </w:r>
    </w:p>
    <w:p>
      <w:pPr>
        <w:pStyle w:val="null3"/>
        <w:jc w:val="both"/>
      </w:pPr>
      <w:r>
        <w:rPr>
          <w:sz w:val="21"/>
        </w:rPr>
        <w:t>项目名称</w:t>
      </w:r>
      <w:r>
        <w:rPr>
          <w:sz w:val="21"/>
        </w:rPr>
        <w:t>:</w:t>
      </w:r>
      <w:r>
        <w:rPr>
          <w:sz w:val="21"/>
        </w:rPr>
        <w:t>广东外语外贸大学白云山校区</w:t>
      </w:r>
      <w:r>
        <w:rPr>
          <w:sz w:val="21"/>
        </w:rPr>
        <w:t>2026年学生公寓床等家具采购项目</w:t>
      </w:r>
    </w:p>
    <w:p>
      <w:pPr>
        <w:pStyle w:val="null3"/>
        <w:jc w:val="both"/>
      </w:pPr>
      <w:r>
        <w:rPr>
          <w:sz w:val="21"/>
        </w:rPr>
        <w:t>采购文件编号：</w:t>
      </w:r>
    </w:p>
    <w:p>
      <w:pPr>
        <w:pStyle w:val="null3"/>
        <w:ind w:firstLine="420"/>
        <w:jc w:val="both"/>
      </w:pPr>
      <w:r>
        <w:rPr>
          <w:sz w:val="21"/>
        </w:rPr>
        <w:t>根据《中华人民共和国政府采购法》、《中华人民共和国民典法》等相关法律规定及</w:t>
      </w:r>
      <w:r>
        <w:rPr>
          <w:sz w:val="21"/>
          <w:u w:val="single"/>
        </w:rPr>
        <w:t>广东外语外贸大学白云山校区</w:t>
      </w:r>
      <w:r>
        <w:rPr>
          <w:sz w:val="21"/>
          <w:u w:val="single"/>
        </w:rPr>
        <w:t>2026年学生公寓床等家具采购项目</w:t>
      </w:r>
      <w:r>
        <w:rPr>
          <w:sz w:val="21"/>
        </w:rPr>
        <w:t>招标文件的要求，</w:t>
      </w:r>
      <w:r>
        <w:rPr>
          <w:sz w:val="21"/>
        </w:rPr>
        <w:t>经双方协商，本着平等互利和诚实信用的原则，一致同意签订本合同。</w:t>
      </w:r>
    </w:p>
    <w:p>
      <w:pPr>
        <w:pStyle w:val="null3"/>
        <w:jc w:val="both"/>
      </w:pPr>
      <w:r>
        <w:rPr>
          <w:sz w:val="21"/>
          <w:b/>
        </w:rPr>
        <w:t>一、标的内容</w:t>
      </w:r>
    </w:p>
    <w:tbl>
      <w:tblPr>
        <w:tblW w:w="0" w:type="auto"/>
        <w:tblBorders>
          <w:top w:val="none" w:color="000000" w:sz="4"/>
          <w:left w:val="none" w:color="000000" w:sz="4"/>
          <w:bottom w:val="none" w:color="000000" w:sz="4"/>
          <w:right w:val="none" w:color="000000" w:sz="4"/>
          <w:insideH w:val="none"/>
          <w:insideV w:val="none"/>
        </w:tblBorders>
      </w:tblPr>
      <w:tblGrid>
        <w:gridCol w:w="574"/>
        <w:gridCol w:w="972"/>
        <w:gridCol w:w="943"/>
        <w:gridCol w:w="1119"/>
        <w:gridCol w:w="663"/>
        <w:gridCol w:w="574"/>
        <w:gridCol w:w="560"/>
        <w:gridCol w:w="1061"/>
        <w:gridCol w:w="1119"/>
        <w:gridCol w:w="707"/>
      </w:tblGrid>
      <w:tr>
        <w:tc>
          <w:tcPr>
            <w:tcW w:type="dxa" w:w="574"/>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72"/>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943"/>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p>
        </w:tc>
        <w:tc>
          <w:tcPr>
            <w:tcW w:type="dxa" w:w="1119"/>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w:t>
            </w:r>
          </w:p>
        </w:tc>
        <w:tc>
          <w:tcPr>
            <w:tcW w:type="dxa" w:w="663"/>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574"/>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56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061"/>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1119"/>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w:t>
            </w:r>
          </w:p>
        </w:tc>
        <w:tc>
          <w:tcPr>
            <w:tcW w:type="dxa" w:w="707"/>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备注</w:t>
            </w:r>
          </w:p>
        </w:tc>
      </w:tr>
      <w:tr>
        <w:tc>
          <w:tcPr>
            <w:tcW w:type="dxa" w:w="57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57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57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57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57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8292"/>
            <w:gridSpan w:val="10"/>
            <w:tcBorders>
              <w:top w:val="none" w:color="000000" w:sz="4"/>
              <w:left w:val="double" w:color="000000" w:sz="4"/>
              <w:bottom w:val="double" w:color="000000" w:sz="4"/>
              <w:right w:val="double" w:color="000000" w:sz="4"/>
            </w:tcBorders>
            <w:tcMar>
              <w:top w:type="dxa" w:w="0"/>
              <w:left w:type="dxa" w:w="105"/>
              <w:bottom w:type="dxa" w:w="0"/>
              <w:right w:type="dxa" w:w="105"/>
            </w:tcMar>
            <w:vAlign w:val="top"/>
          </w:tcPr>
          <w:p>
            <w:pPr>
              <w:pStyle w:val="null3"/>
              <w:jc w:val="right"/>
            </w:pPr>
            <w:r>
              <w:rPr>
                <w:sz w:val="21"/>
                <w:b/>
              </w:rPr>
              <w:t>合计：人民币</w:t>
            </w:r>
            <w:r>
              <w:rPr>
                <w:sz w:val="21"/>
                <w:b/>
              </w:rPr>
              <w:t xml:space="preserve">                            </w:t>
            </w:r>
            <w:r>
              <w:rPr>
                <w:sz w:val="21"/>
                <w:b/>
              </w:rPr>
              <w:t>(￥</w:t>
            </w:r>
            <w:r>
              <w:rPr>
                <w:sz w:val="21"/>
              </w:rPr>
              <w:t xml:space="preserve"> </w:t>
            </w:r>
            <w:r>
              <w:rPr>
                <w:sz w:val="21"/>
              </w:rPr>
              <w:t>元</w:t>
            </w:r>
            <w:r>
              <w:rPr>
                <w:sz w:val="21"/>
                <w:b/>
              </w:rPr>
              <w:t>)</w:t>
            </w:r>
          </w:p>
        </w:tc>
      </w:tr>
    </w:tbl>
    <w:p>
      <w:pPr>
        <w:pStyle w:val="null3"/>
        <w:ind w:firstLine="420"/>
        <w:jc w:val="both"/>
      </w:pPr>
      <w:r>
        <w:rPr>
          <w:sz w:val="21"/>
        </w:rPr>
        <w:t>合同标的中的货物名称内容必须与投标文件中货物名称内容一致。</w:t>
      </w:r>
    </w:p>
    <w:p>
      <w:pPr>
        <w:pStyle w:val="null3"/>
        <w:jc w:val="both"/>
      </w:pPr>
      <w:r>
        <w:rPr>
          <w:sz w:val="21"/>
          <w:b/>
        </w:rPr>
        <w:t>二、合同金额</w:t>
      </w:r>
    </w:p>
    <w:p>
      <w:pPr>
        <w:pStyle w:val="null3"/>
        <w:ind w:firstLine="420"/>
        <w:jc w:val="both"/>
      </w:pPr>
      <w:r>
        <w:rPr>
          <w:sz w:val="21"/>
        </w:rPr>
        <w:t>1.合同总价为人民币 (￥元)。</w:t>
      </w:r>
    </w:p>
    <w:p>
      <w:pPr>
        <w:pStyle w:val="null3"/>
        <w:ind w:firstLine="420"/>
        <w:jc w:val="both"/>
      </w:pPr>
      <w:r>
        <w:rPr>
          <w:sz w:val="21"/>
        </w:rPr>
        <w:t>2.合同总价为货到广东外语外贸大学广州校区校内甲方指定地点含税全包价，合同金额包含但不限于</w:t>
      </w:r>
      <w:r>
        <w:rPr>
          <w:sz w:val="21"/>
        </w:rPr>
        <w:t>货物及零配件的购置、深化设计、运输保险、装卸、安装调试、备品备件、质保期售后服务、人工材料费、合同实施过程中应预见和不可预见费用及含税费用</w:t>
      </w:r>
      <w:r>
        <w:rPr>
          <w:sz w:val="21"/>
        </w:rPr>
        <w:t>。</w:t>
      </w:r>
    </w:p>
    <w:p>
      <w:pPr>
        <w:pStyle w:val="null3"/>
        <w:ind w:firstLine="420"/>
        <w:jc w:val="both"/>
      </w:pPr>
      <w:r>
        <w:rPr>
          <w:sz w:val="21"/>
        </w:rPr>
        <w:t>3.除本合同明确约定的费用外，甲方无需支付本合同项下任何额外费用。</w:t>
      </w:r>
    </w:p>
    <w:p>
      <w:pPr>
        <w:pStyle w:val="null3"/>
        <w:jc w:val="both"/>
      </w:pPr>
      <w:r>
        <w:rPr>
          <w:sz w:val="21"/>
          <w:b/>
        </w:rPr>
        <w:t>三、货物质量标准</w:t>
      </w:r>
    </w:p>
    <w:p>
      <w:pPr>
        <w:pStyle w:val="null3"/>
        <w:ind w:firstLine="420"/>
        <w:jc w:val="both"/>
      </w:pPr>
      <w:r>
        <w:rPr>
          <w:sz w:val="21"/>
        </w:rPr>
        <w:t>1.乙方提供的货物为全新的、未使用过的原厂原包装产品（含零部件、配件、随机工具、技术文件等），具出厂合格证，序列号、包装箱号与出厂批号一致，可追索查阅，进货渠道合法。</w:t>
      </w:r>
    </w:p>
    <w:p>
      <w:pPr>
        <w:pStyle w:val="null3"/>
        <w:ind w:firstLine="420"/>
        <w:jc w:val="both"/>
      </w:pPr>
      <w:r>
        <w:rPr>
          <w:sz w:val="21"/>
        </w:rPr>
        <w:t>2.乙方应提供技术成熟、设计合理、维修安装便利的符合用户要求的新型产品。并确保提供的货物及所有配套件完整和可靠。</w:t>
      </w:r>
    </w:p>
    <w:p>
      <w:pPr>
        <w:pStyle w:val="null3"/>
        <w:ind w:firstLine="420"/>
        <w:jc w:val="both"/>
      </w:pPr>
      <w:r>
        <w:rPr>
          <w:sz w:val="21"/>
        </w:rPr>
        <w:t>3.货物包装必须与合同约定相符，包装外观完好、无破损，货物洁净完好、无划痕、无凹陷、无褪色、无锈迹。</w:t>
      </w:r>
    </w:p>
    <w:p>
      <w:pPr>
        <w:pStyle w:val="null3"/>
        <w:ind w:firstLine="420"/>
        <w:jc w:val="both"/>
      </w:pPr>
      <w:r>
        <w:rPr>
          <w:sz w:val="21"/>
        </w:rPr>
        <w:t>4.实际到货的货物名称、数量、品牌、型号、规格、配置、产地等信息须与合同一致。涉及知识产权的须提供知识产权证明文件。</w:t>
      </w:r>
    </w:p>
    <w:p>
      <w:pPr>
        <w:pStyle w:val="null3"/>
        <w:ind w:firstLine="420"/>
        <w:jc w:val="both"/>
      </w:pPr>
      <w:r>
        <w:rPr>
          <w:sz w:val="21"/>
        </w:rPr>
        <w:t>5.货物性能参数及技术指标必须与招标文件要求及投标文件响应的内容相符，并达到中华人民共和国国家相关标准、</w:t>
      </w:r>
      <w:r>
        <w:rPr>
          <w:sz w:val="21"/>
        </w:rPr>
        <w:t>环保标准及产品出厂标准。</w:t>
      </w:r>
    </w:p>
    <w:p>
      <w:pPr>
        <w:pStyle w:val="null3"/>
        <w:ind w:firstLine="420"/>
        <w:jc w:val="both"/>
      </w:pPr>
      <w:r>
        <w:rPr>
          <w:sz w:val="21"/>
        </w:rPr>
        <w:t>6.乙方须为甲方提供有关货物安装、维修、使用和保养所需的足够的中文技术文件（说明书、手册和技术资料）。备品备件和专用工具。</w:t>
      </w:r>
    </w:p>
    <w:p>
      <w:pPr>
        <w:pStyle w:val="null3"/>
        <w:jc w:val="both"/>
      </w:pPr>
      <w:r>
        <w:rPr>
          <w:sz w:val="21"/>
          <w:b/>
        </w:rPr>
        <w:t>四、包装</w:t>
      </w:r>
    </w:p>
    <w:p>
      <w:pPr>
        <w:pStyle w:val="null3"/>
        <w:ind w:firstLine="420"/>
        <w:jc w:val="both"/>
      </w:pPr>
      <w:r>
        <w:rPr>
          <w:sz w:val="21"/>
        </w:rPr>
        <w:t>1.乙方应按《商品包装政府采购需求标准（试行）》等的有关标准提供货物的包装，并采用恰当的方式将货物运抵交货地点，交货给甲方（同时，提供货物清单）。包装必须与运输方式相适应，包装方式的确定及包装费用均由乙方负责；由于不适当的包装而造成货物在运输过程中有任何损坏、丢失由乙方负责。</w:t>
      </w:r>
    </w:p>
    <w:p>
      <w:pPr>
        <w:pStyle w:val="null3"/>
        <w:ind w:firstLine="420"/>
        <w:jc w:val="both"/>
      </w:pPr>
      <w:r>
        <w:rPr>
          <w:sz w:val="21"/>
        </w:rPr>
        <w:t>2.包装应足以承受整个过程中的运输、转运、装缷、储存等，充分考虑到运输途中的各种情况（如暴露于恶劣气候等），以及露天存放的需要。</w:t>
      </w:r>
    </w:p>
    <w:p>
      <w:pPr>
        <w:pStyle w:val="null3"/>
        <w:ind w:firstLine="420"/>
        <w:jc w:val="both"/>
      </w:pPr>
      <w:r>
        <w:rPr>
          <w:sz w:val="21"/>
        </w:rPr>
        <w:t>3.专用工具及备品备件应分别包装，并在包装箱外加以注明其用处。</w:t>
      </w:r>
    </w:p>
    <w:p>
      <w:pPr>
        <w:pStyle w:val="null3"/>
        <w:ind w:firstLine="420"/>
        <w:jc w:val="both"/>
      </w:pPr>
      <w:r>
        <w:rPr>
          <w:sz w:val="21"/>
        </w:rPr>
        <w:t>4.为了保证货物在长途运输和装卸过程中的安全，货物包装应符合国家或行业标准规定。由于包装不善导致货物锈蚀、失缺或损坏，由乙方承担一切责任。</w:t>
      </w:r>
    </w:p>
    <w:p>
      <w:pPr>
        <w:pStyle w:val="null3"/>
        <w:jc w:val="both"/>
      </w:pPr>
      <w:r>
        <w:rPr>
          <w:sz w:val="21"/>
          <w:b/>
        </w:rPr>
        <w:t>五、</w:t>
      </w:r>
      <w:r>
        <w:rPr>
          <w:sz w:val="21"/>
          <w:b/>
        </w:rPr>
        <w:t>运输、装卸、保管、保险</w:t>
      </w:r>
    </w:p>
    <w:p>
      <w:pPr>
        <w:pStyle w:val="null3"/>
        <w:ind w:firstLine="420"/>
        <w:jc w:val="both"/>
      </w:pPr>
      <w:r>
        <w:rPr>
          <w:sz w:val="21"/>
        </w:rPr>
        <w:t>1.乙方负责将货物送到现场过程中的全部运输；包括装卸车、货物现场的搬运等。</w:t>
      </w:r>
    </w:p>
    <w:p>
      <w:pPr>
        <w:pStyle w:val="null3"/>
        <w:ind w:firstLine="420"/>
        <w:jc w:val="both"/>
      </w:pPr>
      <w:r>
        <w:rPr>
          <w:sz w:val="21"/>
        </w:rPr>
        <w:t>2.装卸、运输、仓储过程应充分考虑可能遇到的各种情况，避免货物遭受暴晒、浸泡、碰撞、挤压、剧烈震荡等伤害，注意防火、防盗、防爆、防雷击，保证货物完好，不被丢失、损坏、损毁或灭失。乙方在保证货物财产安全的同时，还须注意人员安全，避免危害他人身体健康和造成人员伤亡情况的发生。如在上述装卸、运输、仓储过程中出现任何货物损坏、损毁、丢失、灭失或人员伤亡等情况，一切责任由乙方承担。</w:t>
      </w:r>
    </w:p>
    <w:p>
      <w:pPr>
        <w:pStyle w:val="null3"/>
        <w:ind w:firstLine="420"/>
        <w:jc w:val="both"/>
      </w:pPr>
      <w:r>
        <w:rPr>
          <w:sz w:val="21"/>
        </w:rPr>
        <w:t>3.在充分保证货物财产安全的前提下，乙方应选择快捷高效的运输途径，尽量减少货物中转、装卸的次数。</w:t>
      </w:r>
    </w:p>
    <w:p>
      <w:pPr>
        <w:pStyle w:val="null3"/>
        <w:ind w:firstLine="420"/>
        <w:jc w:val="both"/>
      </w:pPr>
      <w:r>
        <w:rPr>
          <w:sz w:val="21"/>
        </w:rPr>
        <w:t>4.如委托第三方运输货物的，乙方须全程跟踪，不得任由承运人随意处置货物。</w:t>
      </w:r>
    </w:p>
    <w:p>
      <w:pPr>
        <w:pStyle w:val="null3"/>
        <w:ind w:firstLine="420"/>
        <w:jc w:val="both"/>
      </w:pPr>
      <w:r>
        <w:rPr>
          <w:sz w:val="21"/>
        </w:rPr>
        <w:t>5.货物抵达甲方收货地点进行卸货作业时，不得损坏甲方电梯、墙体、家具、用具等物品，如有对甲方造成财产损失的，乙方须赔偿甲方全部损失。</w:t>
      </w:r>
    </w:p>
    <w:p>
      <w:pPr>
        <w:pStyle w:val="null3"/>
        <w:ind w:firstLine="420"/>
        <w:jc w:val="both"/>
      </w:pPr>
      <w:r>
        <w:rPr>
          <w:sz w:val="21"/>
        </w:rPr>
        <w:t>6.货物在现场的保管由乙方负责，直至项目完工、验收完毕；</w:t>
      </w:r>
    </w:p>
    <w:p>
      <w:pPr>
        <w:pStyle w:val="null3"/>
        <w:ind w:firstLine="420"/>
        <w:jc w:val="both"/>
      </w:pPr>
      <w:r>
        <w:rPr>
          <w:sz w:val="21"/>
        </w:rPr>
        <w:t>7.货物在验收合格前的保险由中标人负责，乙方负责其派出的现场服务人员人身意外保险。</w:t>
      </w:r>
    </w:p>
    <w:p>
      <w:pPr>
        <w:pStyle w:val="null3"/>
        <w:ind w:left="315"/>
        <w:jc w:val="both"/>
      </w:pPr>
      <w:r>
        <w:rPr>
          <w:sz w:val="21"/>
          <w:b/>
        </w:rPr>
        <w:t>六、交货</w:t>
      </w:r>
    </w:p>
    <w:p>
      <w:pPr>
        <w:pStyle w:val="null3"/>
        <w:ind w:firstLine="420"/>
        <w:jc w:val="both"/>
      </w:pPr>
      <w:r>
        <w:rPr>
          <w:sz w:val="21"/>
        </w:rPr>
        <w:t>1.合同交货期：年月日前完成安装调试并交付使用，如因甲方原因导致不能进场安装，则双方协调商议完成安装调试时间并交付使用。安装、调试达验收合格标准。</w:t>
      </w:r>
    </w:p>
    <w:p>
      <w:pPr>
        <w:pStyle w:val="null3"/>
        <w:ind w:firstLine="420"/>
        <w:jc w:val="both"/>
      </w:pPr>
      <w:r>
        <w:rPr>
          <w:sz w:val="21"/>
        </w:rPr>
        <w:t>2.交货地点：</w:t>
      </w:r>
      <w:r>
        <w:rPr>
          <w:sz w:val="21"/>
        </w:rPr>
        <w:t>广州市白云区白云大道北</w:t>
      </w:r>
      <w:r>
        <w:rPr>
          <w:sz w:val="21"/>
        </w:rPr>
        <w:t>2号</w:t>
      </w:r>
      <w:r>
        <w:rPr>
          <w:sz w:val="21"/>
        </w:rPr>
        <w:t>广东外语外贸大学指定地点。</w:t>
      </w:r>
    </w:p>
    <w:p>
      <w:pPr>
        <w:pStyle w:val="null3"/>
        <w:ind w:firstLine="420"/>
        <w:jc w:val="both"/>
      </w:pPr>
      <w:r>
        <w:rPr>
          <w:sz w:val="21"/>
        </w:rPr>
        <w:t>3.甲方收货联系人：；联系电话（手机）：；电子邮箱：。</w:t>
      </w:r>
    </w:p>
    <w:p>
      <w:pPr>
        <w:pStyle w:val="null3"/>
        <w:ind w:firstLine="420"/>
        <w:jc w:val="both"/>
      </w:pPr>
      <w:r>
        <w:rPr>
          <w:sz w:val="21"/>
        </w:rPr>
        <w:t>4.乙方送货联系人：；联系电话（手机）：；电子邮箱：。</w:t>
      </w:r>
    </w:p>
    <w:p>
      <w:pPr>
        <w:pStyle w:val="null3"/>
        <w:ind w:firstLine="420"/>
        <w:jc w:val="both"/>
      </w:pPr>
      <w:r>
        <w:rPr>
          <w:sz w:val="21"/>
        </w:rPr>
        <w:t>5.送货及开箱点货：</w:t>
      </w:r>
    </w:p>
    <w:p>
      <w:pPr>
        <w:pStyle w:val="null3"/>
        <w:ind w:firstLine="420"/>
        <w:jc w:val="both"/>
      </w:pPr>
      <w:r>
        <w:rPr>
          <w:sz w:val="21"/>
        </w:rPr>
        <w:t>1）送货前，乙方应提前通知甲方并安排好送货及开箱点货的时间。</w:t>
      </w:r>
    </w:p>
    <w:p>
      <w:pPr>
        <w:pStyle w:val="null3"/>
        <w:ind w:firstLine="420"/>
        <w:jc w:val="both"/>
      </w:pPr>
      <w:r>
        <w:rPr>
          <w:sz w:val="21"/>
        </w:rPr>
        <w:t>2）乙方应将货物运送到甲方指定的交货地点，并于货物抵达当天与甲方共同开箱清点货物。如因特殊原因不能于送货当天开箱验货的，则货物在甲方地点存放期间发生的货物灭失的风险由乙方承担。</w:t>
      </w:r>
    </w:p>
    <w:p>
      <w:pPr>
        <w:pStyle w:val="null3"/>
        <w:ind w:firstLine="420"/>
        <w:jc w:val="both"/>
      </w:pPr>
      <w:r>
        <w:rPr>
          <w:sz w:val="21"/>
        </w:rPr>
        <w:t>3）交货时，甲乙双方须共同派员参加，经清点无误后由甲方签收，同时双方对交货状况拍照留存。若乙方不派员参加开箱的，视同乙方完全接受甲方开箱检验清点的所有结果，并负责解决开箱检验清点发现的问题和赔偿。</w:t>
      </w:r>
    </w:p>
    <w:p>
      <w:pPr>
        <w:pStyle w:val="null3"/>
        <w:ind w:left="315"/>
        <w:jc w:val="both"/>
      </w:pPr>
      <w:r>
        <w:rPr>
          <w:sz w:val="21"/>
          <w:b/>
        </w:rPr>
        <w:t>七、安装、调试</w:t>
      </w:r>
    </w:p>
    <w:p>
      <w:pPr>
        <w:pStyle w:val="null3"/>
        <w:ind w:firstLine="420"/>
        <w:jc w:val="both"/>
      </w:pPr>
      <w:r>
        <w:rPr>
          <w:sz w:val="21"/>
        </w:rPr>
        <w:t>1.乙方安装、调试必须按照有关技术要求、国家标准和行业规范进行。</w:t>
      </w:r>
    </w:p>
    <w:p>
      <w:pPr>
        <w:pStyle w:val="null3"/>
        <w:ind w:firstLine="420"/>
        <w:jc w:val="both"/>
      </w:pPr>
      <w:r>
        <w:rPr>
          <w:sz w:val="21"/>
        </w:rPr>
        <w:t>2.乙方应按进度安排计划，派出适当的技术人员到安装现场负责免费安装和调试工作。所产生的费用由乙方负责。在安装施工期间，严格遵守甲方的有关制度。遵纪守法，做好质量、安全管理，物件堆放整齐，道路畅通，安全生产，文明施工，保持现场卫生干净整洁，工完场清。</w:t>
      </w:r>
    </w:p>
    <w:p>
      <w:pPr>
        <w:pStyle w:val="null3"/>
        <w:ind w:firstLine="420"/>
        <w:jc w:val="both"/>
      </w:pPr>
      <w:r>
        <w:rPr>
          <w:sz w:val="21"/>
        </w:rPr>
        <w:t>3.乙方应依照招标文件的要求和投标文件的承诺，将货物安装并调试至正常运行的最佳状态。</w:t>
      </w:r>
    </w:p>
    <w:p>
      <w:pPr>
        <w:pStyle w:val="null3"/>
        <w:ind w:firstLine="420"/>
        <w:jc w:val="both"/>
      </w:pPr>
      <w:r>
        <w:rPr>
          <w:sz w:val="21"/>
        </w:rPr>
        <w:t>4.安装施工期间不得损坏甲方的设备设施，否则原价赔偿。</w:t>
      </w:r>
    </w:p>
    <w:p>
      <w:pPr>
        <w:pStyle w:val="null3"/>
        <w:ind w:left="315"/>
        <w:jc w:val="both"/>
      </w:pPr>
      <w:r>
        <w:rPr>
          <w:sz w:val="21"/>
          <w:b/>
        </w:rPr>
        <w:t>八、验收</w:t>
      </w:r>
    </w:p>
    <w:p>
      <w:pPr>
        <w:pStyle w:val="null3"/>
        <w:ind w:firstLine="420"/>
        <w:jc w:val="both"/>
      </w:pPr>
      <w:r>
        <w:rPr>
          <w:sz w:val="21"/>
        </w:rPr>
        <w:t>1.乙方家具送达目的地并完成安装调试后，须向甲方书面申请验收，货物安装完成时间以乙方出书面申请验收时间为准。在接到乙方申请后，甲方应在7日内组织验收，甲方按照货物需求表及参照样品进行验收。</w:t>
      </w:r>
    </w:p>
    <w:p>
      <w:pPr>
        <w:pStyle w:val="null3"/>
        <w:ind w:firstLine="420"/>
        <w:jc w:val="both"/>
      </w:pPr>
      <w:r>
        <w:rPr>
          <w:sz w:val="21"/>
        </w:rPr>
        <w:t>2.交付验收标准为：①符合中华人民共和国国家安全质量标准、环保标准或行业标准；②符合招标文件和投标承诺中甲方认可的合理最佳配置、参数及各项要求；③投标实物样品与投标文件书面响应不一致时，以优者为准。</w:t>
      </w:r>
    </w:p>
    <w:p>
      <w:pPr>
        <w:pStyle w:val="null3"/>
        <w:ind w:firstLine="420"/>
        <w:jc w:val="both"/>
      </w:pPr>
      <w:r>
        <w:rPr>
          <w:sz w:val="21"/>
        </w:rPr>
        <w:t>3.甲乙双方将按照双方最终确定的样品，对货物进行验收；货不对板，拒绝收货及安装。</w:t>
      </w:r>
    </w:p>
    <w:p>
      <w:pPr>
        <w:pStyle w:val="null3"/>
        <w:ind w:firstLine="420"/>
        <w:jc w:val="both"/>
      </w:pPr>
      <w:r>
        <w:rPr>
          <w:sz w:val="21"/>
        </w:rPr>
        <w:t>4.在乙方安装、调试后进行检查验收，如果发现数量不足，质量、技术或材料说明跟清单不符等问题，乙方应负责按照用户的要求采取补足更换等处理措施，并承担由此发生的一切损失和费用。</w:t>
      </w:r>
    </w:p>
    <w:p>
      <w:pPr>
        <w:pStyle w:val="null3"/>
        <w:ind w:firstLine="420"/>
        <w:jc w:val="both"/>
      </w:pPr>
      <w:r>
        <w:rPr>
          <w:sz w:val="21"/>
        </w:rPr>
        <w:t>5.甲方可免费从乙方合同货物中随机抽样作破坏性验收。</w:t>
      </w:r>
    </w:p>
    <w:p>
      <w:pPr>
        <w:pStyle w:val="null3"/>
        <w:ind w:firstLine="420"/>
        <w:jc w:val="both"/>
      </w:pPr>
      <w:r>
        <w:rPr>
          <w:sz w:val="21"/>
        </w:rPr>
        <w:t>6.所有产品安装完成后，乙方需对甲方指定房间进行一次室内空气检测，房间数量不低于产品所有房间数3%，检测内容包括但不限于甲醛、胺、苯、甲苯、二甲苯、TVOC等，如均符合《建筑环境通用规范》 GB 55016-2021相关标准即可验收，如出现不合格项目，需对产品所在建筑室内进行治理直至抽检合格，相关费用由乙方承担。</w:t>
      </w:r>
    </w:p>
    <w:p>
      <w:pPr>
        <w:pStyle w:val="null3"/>
        <w:ind w:firstLine="420"/>
        <w:jc w:val="both"/>
      </w:pPr>
      <w:r>
        <w:rPr>
          <w:sz w:val="21"/>
        </w:rPr>
        <w:t>7.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left="315"/>
        <w:jc w:val="both"/>
      </w:pPr>
      <w:r>
        <w:rPr>
          <w:sz w:val="21"/>
          <w:b/>
        </w:rPr>
        <w:t>九、履约保证金</w:t>
      </w:r>
    </w:p>
    <w:p>
      <w:pPr>
        <w:pStyle w:val="null3"/>
        <w:ind w:firstLine="420"/>
        <w:jc w:val="both"/>
      </w:pPr>
      <w:r>
        <w:rPr>
          <w:sz w:val="21"/>
        </w:rPr>
        <w:t>1.双方签订合同之日起，乙方在5个工作日内向甲方缴纳合同总金额的5%作为履约保证金。项目完成安装调试并通过验收合格后，乙方已按合同售后服务条款履行承诺且无须承担赔偿项的，由乙方向甲方提出书面申请后，甲方自收到乙方返履约保证金申请之日起，于15日内无息返还给乙方。履约保证金的退还不能免除乙方因货物本身质量问题所导致的法律责任和由此对甲方造成的经济损失的赔偿义务。履约保证金可以以履约保函（保险）形式提供。</w:t>
      </w:r>
    </w:p>
    <w:p>
      <w:pPr>
        <w:pStyle w:val="null3"/>
        <w:ind w:firstLine="420"/>
        <w:jc w:val="both"/>
      </w:pPr>
      <w:r>
        <w:rPr>
          <w:sz w:val="21"/>
        </w:rPr>
        <w:t>不予退还的情形：如在合同期内，乙方自行停止合约或违反合同有关规定被甲方终止合约的，则履约保证金全部归甲方所有。若乙方不履行或不适当履行其合同义务导致甲方蒙受损失的，甲方有权直接从履约保证金中扣除相应违约金或损失赔偿款项；违约金或给甲方造成的损失超过履约保证金数额的，乙方应对超出部分给予赔偿。其他违约责任按照合同约定执行。</w:t>
      </w:r>
    </w:p>
    <w:p>
      <w:pPr>
        <w:pStyle w:val="null3"/>
        <w:ind w:firstLine="420"/>
        <w:jc w:val="both"/>
      </w:pPr>
      <w:r>
        <w:rPr>
          <w:sz w:val="21"/>
        </w:rPr>
        <w:t>甲方逾期退还履约保证金的，除应当退还履约保证金本金外，还应当每日按合同总价的</w:t>
      </w:r>
      <w:r>
        <w:rPr>
          <w:sz w:val="21"/>
        </w:rPr>
        <w:t>0.3‰向乙方偿付违约金，但因合同的履行产生争议乙方自身原因导致无法及时退还的除外。</w:t>
      </w:r>
    </w:p>
    <w:p>
      <w:pPr>
        <w:pStyle w:val="null3"/>
        <w:ind w:left="315"/>
        <w:jc w:val="both"/>
      </w:pPr>
      <w:r>
        <w:rPr>
          <w:sz w:val="21"/>
          <w:b/>
        </w:rPr>
        <w:t>十、付款方式</w:t>
      </w:r>
    </w:p>
    <w:p>
      <w:pPr>
        <w:pStyle w:val="null3"/>
        <w:ind w:firstLine="420"/>
        <w:jc w:val="both"/>
      </w:pPr>
      <w:r>
        <w:rPr>
          <w:sz w:val="21"/>
        </w:rPr>
        <w:t>1.签订合同后</w:t>
      </w:r>
      <w:r>
        <w:rPr>
          <w:sz w:val="20"/>
        </w:rPr>
        <w:t>，</w:t>
      </w:r>
      <w:r>
        <w:rPr>
          <w:sz w:val="20"/>
        </w:rPr>
        <w:t>甲方收到乙方提供的发票后</w:t>
      </w:r>
      <w:r>
        <w:rPr>
          <w:sz w:val="20"/>
        </w:rPr>
        <w:t>5个工作日</w:t>
      </w:r>
      <w:r>
        <w:rPr>
          <w:sz w:val="20"/>
        </w:rPr>
        <w:t>内</w:t>
      </w:r>
      <w:r>
        <w:rPr>
          <w:sz w:val="20"/>
        </w:rPr>
        <w:t>支付</w:t>
      </w:r>
      <w:r>
        <w:rPr>
          <w:sz w:val="20"/>
        </w:rPr>
        <w:t>合同金额的</w:t>
      </w:r>
      <w:r>
        <w:rPr>
          <w:sz w:val="20"/>
        </w:rPr>
        <w:t>50%</w:t>
      </w:r>
      <w:r>
        <w:rPr>
          <w:sz w:val="20"/>
        </w:rPr>
        <w:t>作为预付款</w:t>
      </w:r>
      <w:r>
        <w:rPr>
          <w:sz w:val="21"/>
        </w:rPr>
        <w:t>；</w:t>
      </w:r>
    </w:p>
    <w:p>
      <w:pPr>
        <w:pStyle w:val="null3"/>
        <w:ind w:firstLine="420"/>
        <w:jc w:val="both"/>
      </w:pPr>
      <w:r>
        <w:rPr>
          <w:sz w:val="21"/>
        </w:rPr>
        <w:t>2.乙方安装完成，经双方确认全部货物验收合格后</w:t>
      </w:r>
      <w:r>
        <w:rPr>
          <w:sz w:val="21"/>
        </w:rPr>
        <w:t>，</w:t>
      </w:r>
      <w:r>
        <w:rPr>
          <w:sz w:val="20"/>
        </w:rPr>
        <w:t>甲方收到乙方提供的发票</w:t>
      </w:r>
      <w:r>
        <w:rPr>
          <w:sz w:val="20"/>
        </w:rPr>
        <w:t>后</w:t>
      </w:r>
      <w:r>
        <w:rPr>
          <w:sz w:val="20"/>
        </w:rPr>
        <w:t>10个工作</w:t>
      </w:r>
      <w:r>
        <w:rPr>
          <w:sz w:val="20"/>
        </w:rPr>
        <w:t>日内支付</w:t>
      </w:r>
      <w:r>
        <w:rPr>
          <w:sz w:val="20"/>
        </w:rPr>
        <w:t>剩余款项</w:t>
      </w:r>
      <w:r>
        <w:rPr>
          <w:sz w:val="21"/>
        </w:rPr>
        <w:t>。每笔款项支付前，乙方需向甲方提供相应金额的正式发票。上述付款时间规定为甲方向政府采购支付部门提出支付申请的时间（不含政府财政支付部门审查的时间），甲方在规定时间内提起申请的即视为甲方已履行付款义务。</w:t>
      </w:r>
    </w:p>
    <w:p>
      <w:pPr>
        <w:pStyle w:val="null3"/>
        <w:ind w:left="315"/>
        <w:jc w:val="both"/>
      </w:pPr>
      <w:r>
        <w:rPr>
          <w:sz w:val="21"/>
          <w:b/>
        </w:rPr>
        <w:t>十一、售后服务</w:t>
      </w:r>
    </w:p>
    <w:p>
      <w:pPr>
        <w:pStyle w:val="null3"/>
        <w:ind w:firstLine="420"/>
        <w:jc w:val="both"/>
      </w:pPr>
      <w:r>
        <w:rPr>
          <w:sz w:val="21"/>
        </w:rPr>
        <w:t>1.质保期（自货物最终验收合格并交付使用之日起计算）：家具提供【 】年质保，【 】年内提供免费服务（含部件、人力、上门等）。在质保期内乙方免费提供产品正常使用情况下的维修及保养服务。质保期满后乙方对货物提供终身维修，质保期后的货物维护另行协商。</w:t>
      </w:r>
    </w:p>
    <w:p>
      <w:pPr>
        <w:pStyle w:val="null3"/>
        <w:ind w:firstLine="420"/>
        <w:jc w:val="both"/>
      </w:pPr>
      <w:r>
        <w:rPr>
          <w:sz w:val="21"/>
        </w:rPr>
        <w:t>2.乙方应提供满足家具</w:t>
      </w:r>
      <w:r>
        <w:rPr>
          <w:sz w:val="21"/>
        </w:rPr>
        <w:t>4</w:t>
      </w:r>
      <w:r>
        <w:rPr>
          <w:sz w:val="21"/>
        </w:rPr>
        <w:t>年正常使用的备品备件，备用数量不低于中标数量</w:t>
      </w:r>
      <w:r>
        <w:rPr>
          <w:sz w:val="21"/>
        </w:rPr>
        <w:t>3%，其费用应包括在中标价格之内。</w:t>
      </w:r>
    </w:p>
    <w:p>
      <w:pPr>
        <w:pStyle w:val="null3"/>
        <w:ind w:firstLine="420"/>
        <w:jc w:val="both"/>
      </w:pPr>
      <w:r>
        <w:rPr>
          <w:sz w:val="21"/>
        </w:rPr>
        <w:t>3.质保期内，非甲方的人为原因而出现产品质量及安装问题，由乙方负责包修、包换或包退，并承担因此而产生的一切费用。质保期和免费维修期相应顺延。</w:t>
      </w:r>
    </w:p>
    <w:p>
      <w:pPr>
        <w:pStyle w:val="null3"/>
        <w:ind w:firstLine="420"/>
        <w:jc w:val="both"/>
      </w:pPr>
      <w:r>
        <w:rPr>
          <w:sz w:val="21"/>
        </w:rPr>
        <w:t>4.所有货物质保服务方式均为乙方上门服务，即由乙方派员到货物使用现场维修，由此产生的一切费用均由乙方承担。</w:t>
      </w:r>
    </w:p>
    <w:p>
      <w:pPr>
        <w:pStyle w:val="null3"/>
        <w:ind w:firstLine="420"/>
        <w:jc w:val="both"/>
      </w:pPr>
      <w:r>
        <w:rPr>
          <w:sz w:val="21"/>
        </w:rPr>
        <w:t>5.免费质保期内，保证在接到甲方的报障电话后【 】小时内响应，接到报障电话【 】小时内派技术人员上门维修解决问题，并于【 】小时内排除故障。如【 】小时内不能解决维修问题，需要更换替代货物使用。如果需要更换配件的，要求更换的配件跟被更换的品牌、类型相一致或者是同类档次的替代品，后者需征得甲方的管理人员同意。</w:t>
      </w:r>
    </w:p>
    <w:p>
      <w:pPr>
        <w:pStyle w:val="null3"/>
        <w:ind w:firstLine="420"/>
        <w:jc w:val="both"/>
      </w:pPr>
      <w:r>
        <w:rPr>
          <w:sz w:val="21"/>
        </w:rPr>
        <w:t>6.质保期满后，瑕疵一旦确认为制造上之过失后，乙方应负责采取修正该瑕疵之补救措施，包括维修或免费更换必要零件，若该瑕疵导致产品完全不能使用，乙方应负责更换整件产品。</w:t>
      </w:r>
    </w:p>
    <w:p>
      <w:pPr>
        <w:pStyle w:val="null3"/>
        <w:ind w:firstLine="420"/>
        <w:jc w:val="both"/>
      </w:pPr>
      <w:r>
        <w:rPr>
          <w:sz w:val="21"/>
        </w:rPr>
        <w:t>7.货物制造商需要有可靠的售后服务保障包括但不限于：在广州市内有固定的维修服务点、能提供正常的技术、备品备件服务。售后服务热线【 】、联系人【 】。</w:t>
      </w:r>
    </w:p>
    <w:p>
      <w:pPr>
        <w:pStyle w:val="null3"/>
        <w:ind w:firstLine="420"/>
        <w:jc w:val="both"/>
      </w:pPr>
      <w:r>
        <w:rPr>
          <w:sz w:val="21"/>
        </w:rPr>
        <w:t>8.技术资料：乙方应向甲方提供家具的技术样本、安装、维修和使用手册及其它相关技术资料（如有特别说明的除外）</w:t>
      </w:r>
    </w:p>
    <w:p>
      <w:pPr>
        <w:pStyle w:val="null3"/>
        <w:ind w:left="315"/>
        <w:jc w:val="both"/>
      </w:pPr>
      <w:r>
        <w:rPr>
          <w:sz w:val="21"/>
          <w:b/>
        </w:rPr>
        <w:t>十二、保密</w:t>
      </w:r>
    </w:p>
    <w:p>
      <w:pPr>
        <w:pStyle w:val="null3"/>
        <w:ind w:firstLine="420"/>
        <w:jc w:val="both"/>
      </w:pPr>
      <w:r>
        <w:rPr>
          <w:sz w:val="21"/>
        </w:rPr>
        <w:t>1.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rPr>
        <w:t>2.除了合同本身之外，上款所列举的任何物件均是甲方的财产。如果甲方有要求，乙方在完成合同后应将这些物件及全部自制件还给甲方。</w:t>
      </w:r>
    </w:p>
    <w:p>
      <w:pPr>
        <w:pStyle w:val="null3"/>
        <w:ind w:left="315"/>
        <w:jc w:val="both"/>
      </w:pPr>
      <w:r>
        <w:rPr>
          <w:sz w:val="21"/>
          <w:b/>
        </w:rPr>
        <w:t>十三、知识产权</w:t>
      </w:r>
    </w:p>
    <w:p>
      <w:pPr>
        <w:pStyle w:val="null3"/>
        <w:ind w:firstLine="420"/>
        <w:jc w:val="both"/>
      </w:pPr>
      <w:r>
        <w:rPr>
          <w:sz w:val="21"/>
        </w:rPr>
        <w:t>1.乙方及制造商承诺对本合同标的具有合法的知识产权，保证甲方对产品的使用不侵犯任何第三方的合法权益。如受第三方提出的侵犯其专利权、商标权或其他知识产权的起诉或其他任何形式的索赔，由乙方对甲方进行赔偿并承担一切责任。</w:t>
      </w:r>
    </w:p>
    <w:p>
      <w:pPr>
        <w:pStyle w:val="null3"/>
        <w:ind w:firstLine="420"/>
        <w:jc w:val="both"/>
      </w:pPr>
      <w:r>
        <w:rPr>
          <w:sz w:val="21"/>
        </w:rPr>
        <w:t>2.乙方为执行本合同而提供的技术资料、软件的使用权归甲方所有。</w:t>
      </w:r>
    </w:p>
    <w:p>
      <w:pPr>
        <w:pStyle w:val="null3"/>
        <w:ind w:left="315"/>
        <w:jc w:val="both"/>
      </w:pPr>
      <w:r>
        <w:rPr>
          <w:sz w:val="21"/>
          <w:b/>
        </w:rPr>
        <w:t>十四、产权与风险转移</w:t>
      </w:r>
    </w:p>
    <w:p>
      <w:pPr>
        <w:pStyle w:val="null3"/>
        <w:ind w:firstLine="420"/>
        <w:jc w:val="both"/>
      </w:pPr>
      <w:r>
        <w:rPr>
          <w:sz w:val="21"/>
        </w:rPr>
        <w:t>1.货物的产权在货物通过验收，合格交付甲方使用前均归属于乙方。</w:t>
      </w:r>
    </w:p>
    <w:p>
      <w:pPr>
        <w:pStyle w:val="null3"/>
        <w:ind w:firstLine="420"/>
        <w:jc w:val="both"/>
      </w:pPr>
      <w:r>
        <w:rPr>
          <w:sz w:val="21"/>
        </w:rPr>
        <w:t>2.因货物验收不合格甲方拒收，或双方已解除合同，货物毁损、灭失的风险由乙方承担。</w:t>
      </w:r>
    </w:p>
    <w:p>
      <w:pPr>
        <w:pStyle w:val="null3"/>
        <w:ind w:firstLine="420"/>
        <w:jc w:val="both"/>
      </w:pPr>
      <w:r>
        <w:rPr>
          <w:sz w:val="21"/>
        </w:rPr>
        <w:t>3.产权和风险的转移，不影响因乙方履行义务不符合约定导致甲方要求其承担违约责任的权利。</w:t>
      </w:r>
    </w:p>
    <w:p>
      <w:pPr>
        <w:pStyle w:val="null3"/>
        <w:ind w:left="315"/>
        <w:jc w:val="both"/>
      </w:pPr>
      <w:r>
        <w:rPr>
          <w:sz w:val="21"/>
          <w:b/>
        </w:rPr>
        <w:t>十五、违约责任</w:t>
      </w:r>
    </w:p>
    <w:p>
      <w:pPr>
        <w:pStyle w:val="null3"/>
        <w:ind w:firstLine="420"/>
        <w:jc w:val="both"/>
      </w:pPr>
      <w:r>
        <w:rPr>
          <w:sz w:val="21"/>
        </w:rPr>
        <w:t>1.乙方交付的物品经乙方验收不合格或不符合本合同约定，甲方有权拒收，按乙方未能交付物品处置，交货期限不予顺延。</w:t>
      </w:r>
      <w:r>
        <w:rPr>
          <w:sz w:val="21"/>
        </w:rPr>
        <w:t>乙方向甲方支付货款总金额</w:t>
      </w:r>
      <w:r>
        <w:rPr>
          <w:sz w:val="21"/>
        </w:rPr>
        <w:t>10%的违约金。</w:t>
      </w:r>
    </w:p>
    <w:p>
      <w:pPr>
        <w:pStyle w:val="null3"/>
        <w:ind w:firstLine="420"/>
        <w:jc w:val="both"/>
      </w:pPr>
      <w:r>
        <w:rPr>
          <w:sz w:val="21"/>
        </w:rPr>
        <w:t>2.甲方无正当理由拒收物品或拒付货款的，甲方向乙方偿付物品总金额10%的违约金。</w:t>
      </w:r>
    </w:p>
    <w:p>
      <w:pPr>
        <w:pStyle w:val="null3"/>
        <w:ind w:firstLine="420"/>
        <w:jc w:val="both"/>
      </w:pPr>
      <w:r>
        <w:rPr>
          <w:sz w:val="21"/>
        </w:rPr>
        <w:t>3.乙方逾期完工，</w:t>
      </w:r>
      <w:r>
        <w:rPr>
          <w:sz w:val="21"/>
        </w:rPr>
        <w:t>则每日按合同总额</w:t>
      </w:r>
      <w:r>
        <w:rPr>
          <w:sz w:val="21"/>
        </w:rPr>
        <w:t>0.05%向对方偿付违约金，但总额不超过合同总额的10%，逾期交付超过10天，甲方有权终止合同</w:t>
      </w:r>
      <w:r>
        <w:rPr>
          <w:sz w:val="21"/>
        </w:rPr>
        <w:t>。</w:t>
      </w:r>
    </w:p>
    <w:p>
      <w:pPr>
        <w:pStyle w:val="null3"/>
        <w:ind w:left="315"/>
        <w:jc w:val="both"/>
      </w:pPr>
      <w:r>
        <w:rPr>
          <w:sz w:val="21"/>
          <w:b/>
        </w:rPr>
        <w:t>十六、争端的解决</w:t>
      </w:r>
    </w:p>
    <w:p>
      <w:pPr>
        <w:pStyle w:val="null3"/>
        <w:ind w:firstLine="420"/>
        <w:jc w:val="both"/>
      </w:pPr>
      <w:r>
        <w:rPr>
          <w:sz w:val="21"/>
        </w:rPr>
        <w:t>1.凡与本合同有关而引起的一切争议，甲乙双方通过友好协商解决，如协商不成，任何一方可以向甲方所在地法院提起诉讼。</w:t>
      </w:r>
    </w:p>
    <w:p>
      <w:pPr>
        <w:pStyle w:val="null3"/>
        <w:ind w:firstLine="420"/>
        <w:jc w:val="both"/>
      </w:pPr>
      <w:r>
        <w:rPr>
          <w:sz w:val="21"/>
        </w:rPr>
        <w:t>2.在诉讼期间，除提交法院审理的事项外，合同其它部分应继续履行。</w:t>
      </w:r>
    </w:p>
    <w:p>
      <w:pPr>
        <w:pStyle w:val="null3"/>
        <w:ind w:left="315"/>
        <w:jc w:val="both"/>
      </w:pPr>
      <w:r>
        <w:rPr>
          <w:sz w:val="21"/>
          <w:b/>
        </w:rPr>
        <w:t>十七、合同解除和终止</w:t>
      </w:r>
    </w:p>
    <w:p>
      <w:pPr>
        <w:pStyle w:val="null3"/>
        <w:ind w:firstLine="420"/>
        <w:jc w:val="both"/>
      </w:pPr>
      <w:r>
        <w:rPr>
          <w:sz w:val="21"/>
        </w:rPr>
        <w:t>甲乙双方各自完成合同规定的责任和义务，合同自然终止。</w:t>
      </w:r>
    </w:p>
    <w:p>
      <w:pPr>
        <w:pStyle w:val="null3"/>
        <w:ind w:left="315"/>
        <w:jc w:val="both"/>
      </w:pPr>
      <w:r>
        <w:rPr>
          <w:sz w:val="21"/>
          <w:b/>
        </w:rPr>
        <w:t>十八、不可抗力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left="315"/>
        <w:jc w:val="both"/>
      </w:pPr>
      <w:r>
        <w:rPr>
          <w:sz w:val="21"/>
          <w:b/>
        </w:rPr>
        <w:t>十九、税费</w:t>
      </w:r>
    </w:p>
    <w:p>
      <w:pPr>
        <w:pStyle w:val="null3"/>
        <w:ind w:firstLine="420"/>
        <w:jc w:val="both"/>
      </w:pPr>
      <w:r>
        <w:rPr>
          <w:sz w:val="21"/>
        </w:rPr>
        <w:t>在中国境内、外发生的与本合同执行有关的一切税费均由乙方负担。</w:t>
      </w:r>
    </w:p>
    <w:p>
      <w:pPr>
        <w:pStyle w:val="null3"/>
        <w:ind w:left="315"/>
        <w:jc w:val="both"/>
      </w:pPr>
      <w:r>
        <w:rPr>
          <w:sz w:val="21"/>
          <w:b/>
        </w:rPr>
        <w:t>二十、其它</w:t>
      </w:r>
    </w:p>
    <w:p>
      <w:pPr>
        <w:pStyle w:val="null3"/>
        <w:ind w:firstLine="420"/>
        <w:jc w:val="both"/>
      </w:pPr>
      <w:r>
        <w:rPr>
          <w:sz w:val="21"/>
        </w:rPr>
        <w:t>1.本合同所有附件、采购文件、投标文件、中标通知书均为合同的有效组成部分，与本合同具有同等法律效力。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4.本项目不得转包生产，乙方无条件接受甲方组织纪委监察部门等相关人员在乙方生产货物期间到生产现场进行抽检。</w:t>
      </w:r>
    </w:p>
    <w:p>
      <w:pPr>
        <w:pStyle w:val="null3"/>
        <w:ind w:firstLine="420"/>
        <w:jc w:val="both"/>
      </w:pPr>
      <w:r>
        <w:rPr>
          <w:sz w:val="21"/>
        </w:rPr>
        <w:t>5.</w:t>
      </w:r>
      <w:r>
        <w:rPr>
          <w:sz w:val="21"/>
        </w:rPr>
        <w:t>乙方的投标文件所有资料属实，无伪造作假；如果发现资料造假，同意甲方不支付货款。</w:t>
      </w:r>
    </w:p>
    <w:p>
      <w:pPr>
        <w:pStyle w:val="null3"/>
        <w:ind w:left="315"/>
        <w:jc w:val="both"/>
      </w:pPr>
      <w:r>
        <w:rPr>
          <w:sz w:val="21"/>
          <w:b/>
        </w:rPr>
        <w:t>二十一、合同生效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2.本合同一式捌份，甲方执 陆 份，乙方执 贰 份。</w:t>
      </w:r>
    </w:p>
    <w:tbl>
      <w:tblPr>
        <w:tblW w:w="0" w:type="auto"/>
        <w:tblBorders>
          <w:top w:val="none" w:color="000000" w:sz="4"/>
          <w:left w:val="none" w:color="000000" w:sz="4"/>
          <w:bottom w:val="none" w:color="000000" w:sz="4"/>
          <w:right w:val="none" w:color="000000" w:sz="4"/>
          <w:insideH w:val="none"/>
          <w:insideV w:val="none"/>
        </w:tblBorders>
      </w:tblPr>
      <w:tblGrid>
        <w:gridCol w:w="3829"/>
        <w:gridCol w:w="4477"/>
      </w:tblGrid>
      <w:tr>
        <w:tc>
          <w:tcPr>
            <w:tcW w:type="dxa" w:w="3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甲方（盖章）：广东外语外贸大学</w:t>
            </w:r>
          </w:p>
        </w:tc>
        <w:tc>
          <w:tcPr>
            <w:tcW w:type="dxa" w:w="44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3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甲方授权代表（签字）：</w:t>
            </w:r>
          </w:p>
        </w:tc>
        <w:tc>
          <w:tcPr>
            <w:tcW w:type="dxa" w:w="44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乙方授权代表（签字）：</w:t>
            </w:r>
          </w:p>
        </w:tc>
      </w:tr>
      <w:tr>
        <w:tc>
          <w:tcPr>
            <w:tcW w:type="dxa" w:w="3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w:t>
            </w:r>
            <w:r>
              <w:rPr>
                <w:sz w:val="21"/>
              </w:rPr>
              <w:t xml:space="preserve">   </w:t>
            </w:r>
            <w:r>
              <w:rPr>
                <w:sz w:val="21"/>
              </w:rPr>
              <w:t>址：</w:t>
            </w:r>
          </w:p>
        </w:tc>
        <w:tc>
          <w:tcPr>
            <w:tcW w:type="dxa" w:w="44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w:t>
            </w:r>
            <w:r>
              <w:rPr>
                <w:sz w:val="21"/>
              </w:rPr>
              <w:t xml:space="preserve">   </w:t>
            </w:r>
            <w:r>
              <w:rPr>
                <w:sz w:val="21"/>
              </w:rPr>
              <w:t>址：</w:t>
            </w:r>
          </w:p>
        </w:tc>
      </w:tr>
      <w:tr>
        <w:tc>
          <w:tcPr>
            <w:tcW w:type="dxa" w:w="3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p>
        </w:tc>
        <w:tc>
          <w:tcPr>
            <w:tcW w:type="dxa" w:w="44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p>
        </w:tc>
      </w:tr>
      <w:tr>
        <w:tc>
          <w:tcPr>
            <w:tcW w:type="dxa" w:w="3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w:t>
            </w:r>
            <w:r>
              <w:rPr>
                <w:sz w:val="21"/>
              </w:rPr>
              <w:t xml:space="preserve">   </w:t>
            </w:r>
            <w:r>
              <w:rPr>
                <w:sz w:val="21"/>
              </w:rPr>
              <w:t>话：</w:t>
            </w:r>
          </w:p>
        </w:tc>
        <w:tc>
          <w:tcPr>
            <w:tcW w:type="dxa" w:w="44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w:t>
            </w:r>
            <w:r>
              <w:rPr>
                <w:sz w:val="21"/>
              </w:rPr>
              <w:t xml:space="preserve">   </w:t>
            </w:r>
            <w:r>
              <w:rPr>
                <w:sz w:val="21"/>
              </w:rPr>
              <w:t>话：</w:t>
            </w:r>
          </w:p>
        </w:tc>
      </w:tr>
      <w:tr>
        <w:tc>
          <w:tcPr>
            <w:tcW w:type="dxa" w:w="3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tc>
        <w:tc>
          <w:tcPr>
            <w:tcW w:type="dxa" w:w="44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tc>
      </w:tr>
      <w:tr>
        <w:tc>
          <w:tcPr>
            <w:tcW w:type="dxa" w:w="3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p>
        </w:tc>
        <w:tc>
          <w:tcPr>
            <w:tcW w:type="dxa" w:w="44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p>
        </w:tc>
      </w:tr>
      <w:tr>
        <w:tc>
          <w:tcPr>
            <w:tcW w:type="dxa" w:w="3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开户账号：</w:t>
            </w:r>
          </w:p>
        </w:tc>
        <w:tc>
          <w:tcPr>
            <w:tcW w:type="dxa" w:w="44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开户账号：</w:t>
            </w: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440001-2026-21579</w:t>
      </w:r>
    </w:p>
    <w:p>
      <w:pPr>
        <w:pStyle w:val="null3"/>
        <w:jc w:val="center"/>
        <w:outlineLvl w:val="3"/>
      </w:pPr>
      <w:r>
        <w:rPr>
          <w:sz w:val="24"/>
          <w:b/>
        </w:rPr>
        <w:t>采购项目编号：</w:t>
      </w:r>
      <w:r>
        <w:rPr>
          <w:sz w:val="24"/>
          <w:b/>
        </w:rPr>
        <w:t>GDHS26GZ16110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广东外语外贸大学白云山校区2026年学生公寓床等家具采购项目</w:t>
      </w:r>
      <w:r>
        <w:rPr>
          <w:u w:val="single"/>
        </w:rPr>
        <w:t>”</w:t>
      </w:r>
      <w:r>
        <w:rPr/>
        <w:t>项目的招标[采购项目编号为：</w:t>
      </w:r>
      <w:r>
        <w:rPr>
          <w:u w:val="single"/>
        </w:rPr>
        <w:t>GDHS26GZ16110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广东外语外贸大学白云山校区2026年学生公寓床等家具采购项目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广东外语外贸大学白云山校区2026年学生公寓床等家具采购项目</w:t>
      </w:r>
      <w:r>
        <w:rPr/>
        <w:t>”项目采购[采购项目编号为</w:t>
      </w:r>
      <w:r>
        <w:rPr/>
        <w:t>GDHS26GZ16110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广东外语外贸大学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广东外语外贸大学白云山校区2026年学生公寓床等家具采购项目</w:t>
      </w:r>
      <w:r>
        <w:rPr/>
        <w:t>招标中获中标（采购项目编号：</w:t>
      </w:r>
      <w:r>
        <w:rPr/>
        <w:t>GDHS26GZ16110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广东和盛招标代理有限公司</w:t>
      </w:r>
    </w:p>
    <w:p>
      <w:pPr>
        <w:pStyle w:val="null3"/>
        <w:ind w:firstLine="480"/>
      </w:pPr>
      <w:r>
        <w:rPr/>
        <w:t>我单位已登记并准备参与“</w:t>
      </w:r>
      <w:r>
        <w:rPr/>
        <w:t>广东外语外贸大学白云山校区2026年学生公寓床等家具采购项目</w:t>
      </w:r>
      <w:r>
        <w:rPr/>
        <w:t>”项目（采购项目编号：</w:t>
      </w:r>
      <w:r>
        <w:rPr/>
        <w:t>GDHS26GZ16110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